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pBdr/>
        <w:spacing w:lineRule="auto" w:line="276"/>
        <w:rPr/>
      </w:pPr>
      <w:r>
        <w:rPr/>
        <w:pict>
          <v:shapetype id="_x0000_t136" coordsize="21600,21600" o:spt="136" adj="10800" path="m@9,l@10,em@11,21600l@12,21600e">
            <v:stroke joinstyle="miter"/>
            <v:formulas>
              <v:f eqn="val #0"/>
              <v:f eqn="sum @0 0 10800"/>
              <v:f eqn="sum @0 0 0"/>
              <v:f eqn="sum width 0 @0"/>
              <v:f eqn="prod @2 2 1"/>
              <v:f eqn="prod @3 2 1"/>
              <v:f eqn="if @1 @5 @4"/>
              <v:f eqn="sum 0 @6 0"/>
              <v:f eqn="sum width 0 @6"/>
              <v:f eqn="if @1 0 @8"/>
              <v:f eqn="if @1 @7 width"/>
              <v:f eqn="if @1 @8 0"/>
              <v:f eqn="if @1 width @7"/>
            </v:formulas>
            <v:handles>
              <v:h position="@0,21600"/>
            </v:handles>
          </v:shapetype>
          <v:shape id="shape_0" adj="10800" fillcolor="white" stroked="t" o:allowincell="f" style="position:absolute;margin-left:0.05pt;margin-top:0pt;width:49.95pt;height:49.95pt;mso-wrap-style:none;v-text-anchor:middle" type="_x0000_t136">
            <v:fill o:detectmouseclick="t" type="solid" color2="black"/>
            <v:stroke color="black" joinstyle="round" endcap="flat"/>
            <w10:wrap type="none"/>
          </v:shape>
        </w:pict>
        <w:pict>
          <v:shape id="shape_0" adj="10800" fillcolor="white" stroked="t" o:allowincell="f" style="position:absolute;margin-left:0.05pt;margin-top:0pt;width:49.95pt;height:49.95pt;mso-wrap-style:none;v-text-anchor:middle" type="_x0000_t136">
            <v:fill o:detectmouseclick="t" type="solid" color2="black"/>
            <v:stroke color="black" joinstyle="round" endcap="flat"/>
            <w10:wrap type="none"/>
          </v:shape>
        </w:pict>
        <w:pict>
          <v:shape id="shape_0" adj="10800" fillcolor="white" stroked="t" o:allowincell="f" style="position:absolute;margin-left:0.05pt;margin-top:0pt;width:49.95pt;height:49.95pt;mso-wrap-style:none;v-text-anchor:middle" type="_x0000_t136">
            <v:fill o:detectmouseclick="t" type="solid" color2="black"/>
            <v:stroke color="black" joinstyle="round" endcap="flat"/>
            <w10:wrap type="none"/>
          </v:shape>
        </w:pict>
        <w:pict>
          <v:shape id="shape_0" adj="10800" fillcolor="white" stroked="t" o:allowincell="f" style="position:absolute;margin-left:0.05pt;margin-top:0pt;width:49.95pt;height:49.95pt;mso-wrap-style:none;v-text-anchor:middle" type="_x0000_t136">
            <v:fill o:detectmouseclick="t" type="solid" color2="black"/>
            <v:stroke color="black" joinstyle="round" endcap="flat"/>
            <w10:wrap type="none"/>
          </v:shape>
        </w:pict>
      </w:r>
    </w:p>
    <w:p>
      <w:pPr>
        <w:pStyle w:val="Normal"/>
        <w:widowControl w:val="false"/>
        <w:pBdr/>
        <w:spacing w:lineRule="auto" w:line="319"/>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ind w:right="51"/>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SECRETARIA MUNICIPAL DO MEIO AMBIENTE E SUSTENTABILIDADE</w:t>
      </w:r>
    </w:p>
    <w:p>
      <w:pPr>
        <w:pStyle w:val="Normal"/>
        <w:spacing w:lineRule="auto" w:line="319"/>
        <w:ind w:right="51"/>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 xml:space="preserve">CONCORRÊNCIA PÚBLICA N° </w:t>
      </w:r>
      <w:r>
        <w:rPr>
          <w:rFonts w:eastAsia="Times New Roman" w:cs="Times New Roman" w:ascii="Times New Roman" w:hAnsi="Times New Roman"/>
          <w:b/>
          <w:color w:val="000000"/>
          <w:sz w:val="24"/>
          <w:szCs w:val="24"/>
        </w:rPr>
        <w:t>84</w:t>
      </w:r>
      <w:r>
        <w:rPr>
          <w:rFonts w:eastAsia="Times New Roman" w:cs="Times New Roman" w:ascii="Times New Roman" w:hAnsi="Times New Roman"/>
          <w:b/>
          <w:color w:val="000000"/>
          <w:sz w:val="24"/>
          <w:szCs w:val="24"/>
        </w:rPr>
        <w:t>/2026</w:t>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sz w:val="24"/>
          <w:szCs w:val="24"/>
        </w:rPr>
        <w:t xml:space="preserve">     </w:t>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CONCESSÃO DOS SERVIÇOS FUNERÁRIOS NO MUNICÍPIO DE CAXIAS DO SUL/RS</w:t>
      </w:r>
    </w:p>
    <w:p>
      <w:pPr>
        <w:pStyle w:val="Normal"/>
        <w:spacing w:lineRule="auto" w:line="319"/>
        <w:ind w:right="51"/>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 xml:space="preserve">EDITAL CONCORRÊNCIA PÚBLICA N.º </w:t>
      </w:r>
      <w:r>
        <w:rPr>
          <w:rFonts w:eastAsia="Times New Roman" w:cs="Times New Roman" w:ascii="Times New Roman" w:hAnsi="Times New Roman"/>
          <w:b/>
          <w:color w:val="000000"/>
          <w:sz w:val="24"/>
          <w:szCs w:val="24"/>
        </w:rPr>
        <w:t>84</w:t>
      </w:r>
      <w:r>
        <w:rPr>
          <w:rFonts w:eastAsia="Times New Roman" w:cs="Times New Roman" w:ascii="Times New Roman" w:hAnsi="Times New Roman"/>
          <w:b/>
          <w:color w:val="000000"/>
          <w:sz w:val="24"/>
          <w:szCs w:val="24"/>
        </w:rPr>
        <w:t>/2026</w:t>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319"/>
        <w:ind w:right="51"/>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bookmarkStart w:id="0" w:name="_heading=h.gjdgxs"/>
      <w:bookmarkStart w:id="1" w:name="_heading=h.gjdgxs"/>
      <w:bookmarkEnd w:id="1"/>
    </w:p>
    <w:p>
      <w:pPr>
        <w:pStyle w:val="Normal"/>
        <w:spacing w:lineRule="auto" w:line="319"/>
        <w:ind w:right="51"/>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p>
      <w:pPr>
        <w:pStyle w:val="Normal"/>
        <w:spacing w:lineRule="auto" w:line="319"/>
        <w:ind w:right="51"/>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p>
      <w:pPr>
        <w:pStyle w:val="Normal"/>
        <w:spacing w:lineRule="auto" w:line="319"/>
        <w:ind w:right="51"/>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p>
      <w:pPr>
        <w:pStyle w:val="Normal"/>
        <w:spacing w:lineRule="auto" w:line="319"/>
        <w:ind w:right="51"/>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ANEXO V DO EDITAL</w:t>
      </w:r>
    </w:p>
    <w:p>
      <w:pPr>
        <w:pStyle w:val="Normal"/>
        <w:spacing w:lineRule="auto" w:line="319"/>
        <w:ind w:right="51"/>
        <w:jc w:val="center"/>
        <w:rPr>
          <w:rFonts w:ascii="Times New Roman" w:hAnsi="Times New Roman" w:eastAsia="Times New Roman" w:cs="Times New Roman"/>
          <w:b/>
          <w:smallCaps/>
          <w:sz w:val="24"/>
          <w:szCs w:val="24"/>
        </w:rPr>
      </w:pPr>
      <w:r>
        <w:rPr>
          <w:rFonts w:eastAsia="Times New Roman" w:cs="Times New Roman" w:ascii="Times New Roman" w:hAnsi="Times New Roman"/>
          <w:b/>
          <w:color w:val="000000"/>
          <w:sz w:val="24"/>
          <w:szCs w:val="24"/>
        </w:rPr>
        <w:t xml:space="preserve"> </w:t>
      </w:r>
      <w:r>
        <w:rPr>
          <w:rFonts w:eastAsia="Times New Roman" w:cs="Times New Roman" w:ascii="Times New Roman" w:hAnsi="Times New Roman"/>
          <w:b/>
          <w:color w:val="000000"/>
          <w:sz w:val="24"/>
          <w:szCs w:val="24"/>
        </w:rPr>
        <w:t>MINUTA DE CONTRATO DE CONCESSÃO</w:t>
      </w:r>
      <w:r>
        <w:rPr>
          <w:rFonts w:eastAsia="Times New Roman" w:cs="Times New Roman" w:ascii="Times New Roman" w:hAnsi="Times New Roman"/>
          <w:sz w:val="24"/>
          <w:szCs w:val="24"/>
        </w:rPr>
        <w:t xml:space="preserve">                    </w:t>
      </w:r>
    </w:p>
    <w:p>
      <w:pPr>
        <w:pStyle w:val="Normal"/>
        <w:spacing w:lineRule="auto" w:line="319"/>
        <w:rPr>
          <w:rFonts w:ascii="Times New Roman" w:hAnsi="Times New Roman" w:eastAsia="Times New Roman" w:cs="Times New Roman"/>
          <w:b/>
          <w:smallCaps/>
          <w:sz w:val="24"/>
          <w:szCs w:val="24"/>
        </w:rPr>
      </w:pPr>
      <w:r>
        <w:rPr>
          <w:rFonts w:eastAsia="Times New Roman" w:cs="Times New Roman" w:ascii="Times New Roman" w:hAnsi="Times New Roman"/>
          <w:b/>
          <w:smallCaps/>
          <w:sz w:val="24"/>
          <w:szCs w:val="24"/>
        </w:rPr>
      </w:r>
      <w:r>
        <w:br w:type="page"/>
      </w:r>
    </w:p>
    <w:p>
      <w:pPr>
        <w:pStyle w:val="Normal"/>
        <w:keepNext w:val="true"/>
        <w:keepLines/>
        <w:pBdr/>
        <w:spacing w:lineRule="auto" w:line="319" w:before="0" w:after="0"/>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SUMÁRIO</w:t>
      </w:r>
    </w:p>
    <w:sdt>
      <w:sdtPr>
        <w:docPartObj>
          <w:docPartGallery w:val="Table of Contents"/>
          <w:docPartUnique w:val="true"/>
        </w:docPartObj>
      </w:sdtPr>
      <w:sdtContent>
        <w:p>
          <w:pPr>
            <w:pStyle w:val="TOCHeading"/>
            <w:tabs>
              <w:tab w:val="clear" w:pos="720"/>
              <w:tab w:val="left" w:pos="2329" w:leader="none"/>
            </w:tabs>
            <w:rPr/>
          </w:pPr>
          <w:r>
            <w:rPr>
              <w:rFonts w:eastAsia="Calibri" w:cs="Calibri" w:ascii="Calibri" w:hAnsi="Calibri"/>
              <w:color w:val="auto"/>
              <w:sz w:val="22"/>
              <w:szCs w:val="22"/>
            </w:rPr>
            <w:tab/>
          </w:r>
        </w:p>
        <w:p>
          <w:pPr>
            <w:pStyle w:val="TOC1"/>
            <w:tabs>
              <w:tab w:val="clear" w:pos="720"/>
              <w:tab w:val="left" w:pos="440" w:leader="none"/>
              <w:tab w:val="right" w:pos="8494" w:leader="dot"/>
            </w:tabs>
            <w:rPr>
              <w:rFonts w:ascii="Calibri" w:hAnsi="Calibri" w:eastAsia="" w:cs="" w:asciiTheme="minorHAnsi" w:cstheme="minorBidi" w:eastAsiaTheme="minorEastAsia" w:hAnsiTheme="minorHAnsi"/>
            </w:rPr>
          </w:pPr>
          <w:r>
            <w:fldChar w:fldCharType="begin"/>
          </w:r>
          <w:r>
            <w:rPr>
              <w:webHidden/>
              <w:rStyle w:val="Vnculodendice"/>
              <w:b/>
              <w:rFonts w:eastAsia="Times New Roman" w:cs="Times New Roman" w:ascii="Times New Roman" w:hAnsi="Times New Roman"/>
            </w:rPr>
            <w:instrText xml:space="preserve"> TOC \z \o "1-3" \u \h</w:instrText>
          </w:r>
          <w:r>
            <w:rPr>
              <w:webHidden/>
              <w:rStyle w:val="Vnculodendice"/>
              <w:b/>
              <w:rFonts w:eastAsia="Times New Roman" w:cs="Times New Roman" w:ascii="Times New Roman" w:hAnsi="Times New Roman"/>
            </w:rPr>
            <w:fldChar w:fldCharType="separate"/>
          </w:r>
          <w:hyperlink w:anchor="_Toc194916544">
            <w:r>
              <w:rPr>
                <w:webHidden/>
                <w:rStyle w:val="Vnculodendice"/>
                <w:rFonts w:eastAsia="Times New Roman" w:cs="Times New Roman" w:ascii="Times New Roman" w:hAnsi="Times New Roman"/>
                <w:b/>
              </w:rPr>
              <w:t>1</w:t>
            </w:r>
            <w:r>
              <w:rPr>
                <w:rStyle w:val="Vnculodendice"/>
                <w:rFonts w:eastAsia="" w:cs="" w:cstheme="minorBidi" w:eastAsiaTheme="minorEastAsia"/>
              </w:rPr>
              <w:tab/>
            </w:r>
            <w:r>
              <w:rPr>
                <w:rStyle w:val="Vnculodendice"/>
                <w:rFonts w:eastAsia="Times New Roman" w:cs="Times New Roman" w:ascii="Times New Roman" w:hAnsi="Times New Roman"/>
                <w:b/>
              </w:rPr>
              <w:t>LEGISLAÇÃO APLICÁVEL</w:t>
            </w:r>
            <w:r>
              <w:rPr>
                <w:webHidden/>
              </w:rPr>
              <w:fldChar w:fldCharType="begin"/>
            </w:r>
            <w:r>
              <w:rPr>
                <w:webHidden/>
              </w:rPr>
              <w:instrText xml:space="preserve">PAGEREF _Toc194916544 \h</w:instrText>
            </w:r>
            <w:r>
              <w:rPr>
                <w:webHidden/>
              </w:rPr>
              <w:fldChar w:fldCharType="separate"/>
            </w:r>
            <w:r>
              <w:rPr>
                <w:rStyle w:val="Vnculodendice"/>
                <w:vanish w:val="false"/>
              </w:rPr>
              <w:tab/>
              <w:t>4</w:t>
            </w:r>
            <w:r>
              <w:rPr>
                <w:webHidden/>
              </w:rPr>
              <w:fldChar w:fldCharType="end"/>
            </w:r>
          </w:hyperlink>
        </w:p>
        <w:p>
          <w:pPr>
            <w:pStyle w:val="TOC1"/>
            <w:tabs>
              <w:tab w:val="clear" w:pos="720"/>
              <w:tab w:val="left" w:pos="440" w:leader="none"/>
              <w:tab w:val="right" w:pos="8494" w:leader="dot"/>
            </w:tabs>
            <w:rPr>
              <w:rFonts w:ascii="Calibri" w:hAnsi="Calibri" w:eastAsia="" w:cs="" w:asciiTheme="minorHAnsi" w:cstheme="minorBidi" w:eastAsiaTheme="minorEastAsia" w:hAnsiTheme="minorHAnsi"/>
            </w:rPr>
          </w:pPr>
          <w:hyperlink w:anchor="_Toc194916545">
            <w:r>
              <w:rPr>
                <w:webHidden/>
                <w:rStyle w:val="Vnculodendice"/>
                <w:rFonts w:eastAsia="Times New Roman" w:cs="Times New Roman" w:ascii="Times New Roman" w:hAnsi="Times New Roman"/>
                <w:b/>
              </w:rPr>
              <w:t>2</w:t>
            </w:r>
            <w:r>
              <w:rPr>
                <w:rStyle w:val="Vnculodendice"/>
                <w:rFonts w:eastAsia="" w:cs="" w:cstheme="minorBidi" w:eastAsiaTheme="minorEastAsia"/>
              </w:rPr>
              <w:tab/>
            </w:r>
            <w:r>
              <w:rPr>
                <w:rStyle w:val="Vnculodendice"/>
                <w:rFonts w:eastAsia="Times New Roman" w:cs="Times New Roman" w:ascii="Times New Roman" w:hAnsi="Times New Roman"/>
                <w:b/>
              </w:rPr>
              <w:t>INTERPRETAÇÃO</w:t>
            </w:r>
            <w:r>
              <w:rPr>
                <w:webHidden/>
              </w:rPr>
              <w:fldChar w:fldCharType="begin"/>
            </w:r>
            <w:r>
              <w:rPr>
                <w:webHidden/>
              </w:rPr>
              <w:instrText xml:space="preserve">PAGEREF _Toc194916545 \h</w:instrText>
            </w:r>
            <w:r>
              <w:rPr>
                <w:webHidden/>
              </w:rPr>
              <w:fldChar w:fldCharType="separate"/>
            </w:r>
            <w:r>
              <w:rPr>
                <w:rStyle w:val="Vnculodendice"/>
                <w:vanish w:val="false"/>
              </w:rPr>
              <w:tab/>
              <w:t>4</w:t>
            </w:r>
            <w:r>
              <w:rPr>
                <w:webHidden/>
              </w:rPr>
              <w:fldChar w:fldCharType="end"/>
            </w:r>
          </w:hyperlink>
        </w:p>
        <w:p>
          <w:pPr>
            <w:pStyle w:val="TOC1"/>
            <w:tabs>
              <w:tab w:val="clear" w:pos="720"/>
              <w:tab w:val="left" w:pos="440" w:leader="none"/>
              <w:tab w:val="right" w:pos="8494" w:leader="dot"/>
            </w:tabs>
            <w:rPr>
              <w:rFonts w:ascii="Calibri" w:hAnsi="Calibri" w:eastAsia="" w:cs="" w:asciiTheme="minorHAnsi" w:cstheme="minorBidi" w:eastAsiaTheme="minorEastAsia" w:hAnsiTheme="minorHAnsi"/>
            </w:rPr>
          </w:pPr>
          <w:hyperlink w:anchor="_Toc194916546">
            <w:r>
              <w:rPr>
                <w:webHidden/>
                <w:rStyle w:val="Vnculodendice"/>
                <w:rFonts w:eastAsia="Times New Roman" w:cs="Times New Roman" w:ascii="Times New Roman" w:hAnsi="Times New Roman"/>
                <w:b/>
              </w:rPr>
              <w:t>3</w:t>
            </w:r>
            <w:r>
              <w:rPr>
                <w:rStyle w:val="Vnculodendice"/>
                <w:rFonts w:eastAsia="" w:cs="" w:cstheme="minorBidi" w:eastAsiaTheme="minorEastAsia"/>
              </w:rPr>
              <w:tab/>
            </w:r>
            <w:r>
              <w:rPr>
                <w:rStyle w:val="Vnculodendice"/>
                <w:rFonts w:eastAsia="Times New Roman" w:cs="Times New Roman" w:ascii="Times New Roman" w:hAnsi="Times New Roman"/>
                <w:b/>
              </w:rPr>
              <w:t>ANEXOS</w:t>
            </w:r>
            <w:r>
              <w:rPr>
                <w:webHidden/>
              </w:rPr>
              <w:fldChar w:fldCharType="begin"/>
            </w:r>
            <w:r>
              <w:rPr>
                <w:webHidden/>
              </w:rPr>
              <w:instrText xml:space="preserve">PAGEREF _Toc194916546 \h</w:instrText>
            </w:r>
            <w:r>
              <w:rPr>
                <w:webHidden/>
              </w:rPr>
              <w:fldChar w:fldCharType="separate"/>
            </w:r>
            <w:r>
              <w:rPr>
                <w:rStyle w:val="Vnculodendice"/>
                <w:vanish w:val="false"/>
              </w:rPr>
              <w:tab/>
              <w:t>5</w:t>
            </w:r>
            <w:r>
              <w:rPr>
                <w:webHidden/>
              </w:rPr>
              <w:fldChar w:fldCharType="end"/>
            </w:r>
          </w:hyperlink>
        </w:p>
        <w:p>
          <w:pPr>
            <w:pStyle w:val="TOC1"/>
            <w:tabs>
              <w:tab w:val="clear" w:pos="720"/>
              <w:tab w:val="left" w:pos="440" w:leader="none"/>
              <w:tab w:val="right" w:pos="8494" w:leader="dot"/>
            </w:tabs>
            <w:rPr>
              <w:rFonts w:ascii="Calibri" w:hAnsi="Calibri" w:eastAsia="" w:cs="" w:asciiTheme="minorHAnsi" w:cstheme="minorBidi" w:eastAsiaTheme="minorEastAsia" w:hAnsiTheme="minorHAnsi"/>
            </w:rPr>
          </w:pPr>
          <w:hyperlink w:anchor="_Toc194916547">
            <w:r>
              <w:rPr>
                <w:webHidden/>
                <w:rStyle w:val="Vnculodendice"/>
                <w:rFonts w:eastAsia="Times New Roman" w:cs="Times New Roman" w:ascii="Times New Roman" w:hAnsi="Times New Roman"/>
                <w:b/>
                <w:smallCaps/>
              </w:rPr>
              <w:t>4</w:t>
            </w:r>
            <w:r>
              <w:rPr>
                <w:rStyle w:val="Vnculodendice"/>
                <w:rFonts w:eastAsia="" w:cs="" w:cstheme="minorBidi" w:eastAsiaTheme="minorEastAsia"/>
              </w:rPr>
              <w:tab/>
            </w:r>
            <w:r>
              <w:rPr>
                <w:rStyle w:val="Vnculodendice"/>
                <w:rFonts w:eastAsia="Times New Roman" w:cs="Times New Roman" w:ascii="Times New Roman" w:hAnsi="Times New Roman"/>
                <w:b/>
              </w:rPr>
              <w:t>OBJETO</w:t>
            </w:r>
            <w:r>
              <w:rPr>
                <w:webHidden/>
              </w:rPr>
              <w:fldChar w:fldCharType="begin"/>
            </w:r>
            <w:r>
              <w:rPr>
                <w:webHidden/>
              </w:rPr>
              <w:instrText xml:space="preserve">PAGEREF _Toc194916547 \h</w:instrText>
            </w:r>
            <w:r>
              <w:rPr>
                <w:webHidden/>
              </w:rPr>
              <w:fldChar w:fldCharType="separate"/>
            </w:r>
            <w:r>
              <w:rPr>
                <w:rStyle w:val="Vnculodendice"/>
                <w:vanish w:val="false"/>
              </w:rPr>
              <w:tab/>
              <w:t>5</w:t>
            </w:r>
            <w:r>
              <w:rPr>
                <w:webHidden/>
              </w:rPr>
              <w:fldChar w:fldCharType="end"/>
            </w:r>
          </w:hyperlink>
        </w:p>
        <w:p>
          <w:pPr>
            <w:pStyle w:val="TOC1"/>
            <w:tabs>
              <w:tab w:val="clear" w:pos="720"/>
              <w:tab w:val="left" w:pos="440" w:leader="none"/>
              <w:tab w:val="right" w:pos="8494" w:leader="dot"/>
            </w:tabs>
            <w:rPr>
              <w:rFonts w:ascii="Calibri" w:hAnsi="Calibri" w:eastAsia="" w:cs="" w:asciiTheme="minorHAnsi" w:cstheme="minorBidi" w:eastAsiaTheme="minorEastAsia" w:hAnsiTheme="minorHAnsi"/>
            </w:rPr>
          </w:pPr>
          <w:hyperlink w:anchor="_Toc194916548">
            <w:r>
              <w:rPr>
                <w:webHidden/>
                <w:rStyle w:val="Vnculodendice"/>
                <w:rFonts w:eastAsia="Times New Roman" w:cs="Times New Roman" w:ascii="Times New Roman" w:hAnsi="Times New Roman"/>
                <w:b/>
              </w:rPr>
              <w:t>5</w:t>
            </w:r>
            <w:r>
              <w:rPr>
                <w:rStyle w:val="Vnculodendice"/>
                <w:rFonts w:eastAsia="" w:cs="" w:cstheme="minorBidi" w:eastAsiaTheme="minorEastAsia"/>
              </w:rPr>
              <w:tab/>
            </w:r>
            <w:r>
              <w:rPr>
                <w:rStyle w:val="Vnculodendice"/>
                <w:rFonts w:eastAsia="Times New Roman" w:cs="Times New Roman" w:ascii="Times New Roman" w:hAnsi="Times New Roman"/>
                <w:b/>
              </w:rPr>
              <w:t>PRAZO</w:t>
            </w:r>
            <w:r>
              <w:rPr>
                <w:webHidden/>
              </w:rPr>
              <w:fldChar w:fldCharType="begin"/>
            </w:r>
            <w:r>
              <w:rPr>
                <w:webHidden/>
              </w:rPr>
              <w:instrText xml:space="preserve">PAGEREF _Toc194916548 \h</w:instrText>
            </w:r>
            <w:r>
              <w:rPr>
                <w:webHidden/>
              </w:rPr>
              <w:fldChar w:fldCharType="separate"/>
            </w:r>
            <w:r>
              <w:rPr>
                <w:rStyle w:val="Vnculodendice"/>
                <w:vanish w:val="false"/>
              </w:rPr>
              <w:tab/>
              <w:t>6</w:t>
            </w:r>
            <w:r>
              <w:rPr>
                <w:webHidden/>
              </w:rPr>
              <w:fldChar w:fldCharType="end"/>
            </w:r>
          </w:hyperlink>
        </w:p>
        <w:p>
          <w:pPr>
            <w:pStyle w:val="TOC1"/>
            <w:tabs>
              <w:tab w:val="clear" w:pos="720"/>
              <w:tab w:val="left" w:pos="440" w:leader="none"/>
              <w:tab w:val="right" w:pos="8494" w:leader="dot"/>
            </w:tabs>
            <w:rPr>
              <w:rFonts w:ascii="Calibri" w:hAnsi="Calibri" w:eastAsia="" w:cs="" w:asciiTheme="minorHAnsi" w:cstheme="minorBidi" w:eastAsiaTheme="minorEastAsia" w:hAnsiTheme="minorHAnsi"/>
            </w:rPr>
          </w:pPr>
          <w:hyperlink w:anchor="_Toc194916549">
            <w:r>
              <w:rPr>
                <w:webHidden/>
                <w:rStyle w:val="Vnculodendice"/>
                <w:rFonts w:eastAsia="Times New Roman" w:cs="Times New Roman" w:ascii="Times New Roman" w:hAnsi="Times New Roman"/>
                <w:b/>
              </w:rPr>
              <w:t>6</w:t>
            </w:r>
            <w:r>
              <w:rPr>
                <w:rStyle w:val="Vnculodendice"/>
                <w:rFonts w:eastAsia="" w:cs="" w:cstheme="minorBidi" w:eastAsiaTheme="minorEastAsia"/>
              </w:rPr>
              <w:tab/>
            </w:r>
            <w:r>
              <w:rPr>
                <w:rStyle w:val="Vnculodendice"/>
                <w:rFonts w:eastAsia="Times New Roman" w:cs="Times New Roman" w:ascii="Times New Roman" w:hAnsi="Times New Roman"/>
                <w:b/>
              </w:rPr>
              <w:t>VALOR DO CONTRATO</w:t>
            </w:r>
            <w:r>
              <w:rPr>
                <w:webHidden/>
              </w:rPr>
              <w:fldChar w:fldCharType="begin"/>
            </w:r>
            <w:r>
              <w:rPr>
                <w:webHidden/>
              </w:rPr>
              <w:instrText xml:space="preserve">PAGEREF _Toc194916549 \h</w:instrText>
            </w:r>
            <w:r>
              <w:rPr>
                <w:webHidden/>
              </w:rPr>
              <w:fldChar w:fldCharType="separate"/>
            </w:r>
            <w:r>
              <w:rPr>
                <w:rStyle w:val="Vnculodendice"/>
                <w:vanish w:val="false"/>
              </w:rPr>
              <w:tab/>
              <w:t>7</w:t>
            </w:r>
            <w:r>
              <w:rPr>
                <w:webHidden/>
              </w:rPr>
              <w:fldChar w:fldCharType="end"/>
            </w:r>
          </w:hyperlink>
        </w:p>
        <w:p>
          <w:pPr>
            <w:pStyle w:val="TOC1"/>
            <w:tabs>
              <w:tab w:val="clear" w:pos="720"/>
              <w:tab w:val="left" w:pos="440" w:leader="none"/>
              <w:tab w:val="right" w:pos="8494" w:leader="dot"/>
            </w:tabs>
            <w:rPr>
              <w:rFonts w:ascii="Calibri" w:hAnsi="Calibri" w:eastAsia="" w:cs="" w:asciiTheme="minorHAnsi" w:cstheme="minorBidi" w:eastAsiaTheme="minorEastAsia" w:hAnsiTheme="minorHAnsi"/>
            </w:rPr>
          </w:pPr>
          <w:hyperlink w:anchor="_Toc194916550">
            <w:r>
              <w:rPr>
                <w:webHidden/>
                <w:rStyle w:val="Vnculodendice"/>
                <w:rFonts w:eastAsia="Times New Roman" w:cs="Times New Roman" w:ascii="Times New Roman" w:hAnsi="Times New Roman"/>
                <w:b/>
              </w:rPr>
              <w:t>7</w:t>
            </w:r>
            <w:r>
              <w:rPr>
                <w:rStyle w:val="Vnculodendice"/>
                <w:rFonts w:eastAsia="" w:cs="" w:cstheme="minorBidi" w:eastAsiaTheme="minorEastAsia"/>
              </w:rPr>
              <w:tab/>
            </w:r>
            <w:r>
              <w:rPr>
                <w:rStyle w:val="Vnculodendice"/>
                <w:rFonts w:eastAsia="Times New Roman" w:cs="Times New Roman" w:ascii="Times New Roman" w:hAnsi="Times New Roman"/>
                <w:b/>
              </w:rPr>
              <w:t>LICENÇAS E AUTORIZAÇÕES</w:t>
            </w:r>
            <w:r>
              <w:rPr>
                <w:webHidden/>
              </w:rPr>
              <w:fldChar w:fldCharType="begin"/>
            </w:r>
            <w:r>
              <w:rPr>
                <w:webHidden/>
              </w:rPr>
              <w:instrText xml:space="preserve">PAGEREF _Toc194916550 \h</w:instrText>
            </w:r>
            <w:r>
              <w:rPr>
                <w:webHidden/>
              </w:rPr>
              <w:fldChar w:fldCharType="separate"/>
            </w:r>
            <w:r>
              <w:rPr>
                <w:rStyle w:val="Vnculodendice"/>
                <w:vanish w:val="false"/>
              </w:rPr>
              <w:tab/>
              <w:t>7</w:t>
            </w:r>
            <w:r>
              <w:rPr>
                <w:webHidden/>
              </w:rPr>
              <w:fldChar w:fldCharType="end"/>
            </w:r>
          </w:hyperlink>
        </w:p>
        <w:p>
          <w:pPr>
            <w:pStyle w:val="TOC1"/>
            <w:tabs>
              <w:tab w:val="clear" w:pos="720"/>
              <w:tab w:val="left" w:pos="440" w:leader="none"/>
              <w:tab w:val="right" w:pos="8494" w:leader="dot"/>
            </w:tabs>
            <w:rPr>
              <w:rFonts w:ascii="Calibri" w:hAnsi="Calibri" w:eastAsia="" w:cs="" w:asciiTheme="minorHAnsi" w:cstheme="minorBidi" w:eastAsiaTheme="minorEastAsia" w:hAnsiTheme="minorHAnsi"/>
            </w:rPr>
          </w:pPr>
          <w:hyperlink w:anchor="_Toc194916551">
            <w:r>
              <w:rPr>
                <w:webHidden/>
                <w:rStyle w:val="Vnculodendice"/>
                <w:rFonts w:eastAsia="Times New Roman" w:cs="Times New Roman" w:ascii="Times New Roman" w:hAnsi="Times New Roman"/>
                <w:b/>
              </w:rPr>
              <w:t>8</w:t>
            </w:r>
            <w:r>
              <w:rPr>
                <w:rStyle w:val="Vnculodendice"/>
                <w:rFonts w:eastAsia="" w:cs="" w:cstheme="minorBidi" w:eastAsiaTheme="minorEastAsia"/>
              </w:rPr>
              <w:tab/>
            </w:r>
            <w:r>
              <w:rPr>
                <w:rStyle w:val="Vnculodendice"/>
                <w:rFonts w:eastAsia="Times New Roman" w:cs="Times New Roman" w:ascii="Times New Roman" w:hAnsi="Times New Roman"/>
                <w:b/>
              </w:rPr>
              <w:t>REMUNERAÇÃO DA CONCESSIONÁRIA</w:t>
            </w:r>
            <w:r>
              <w:rPr>
                <w:webHidden/>
              </w:rPr>
              <w:fldChar w:fldCharType="begin"/>
            </w:r>
            <w:r>
              <w:rPr>
                <w:webHidden/>
              </w:rPr>
              <w:instrText xml:space="preserve">PAGEREF _Toc194916551 \h</w:instrText>
            </w:r>
            <w:r>
              <w:rPr>
                <w:webHidden/>
              </w:rPr>
              <w:fldChar w:fldCharType="separate"/>
            </w:r>
            <w:r>
              <w:rPr>
                <w:rStyle w:val="Vnculodendice"/>
                <w:vanish w:val="false"/>
              </w:rPr>
              <w:tab/>
              <w:t>8</w:t>
            </w:r>
            <w:r>
              <w:rPr>
                <w:webHidden/>
              </w:rPr>
              <w:fldChar w:fldCharType="end"/>
            </w:r>
          </w:hyperlink>
        </w:p>
        <w:p>
          <w:pPr>
            <w:pStyle w:val="TOC1"/>
            <w:tabs>
              <w:tab w:val="clear" w:pos="720"/>
              <w:tab w:val="left" w:pos="440" w:leader="none"/>
              <w:tab w:val="right" w:pos="8494" w:leader="dot"/>
            </w:tabs>
            <w:rPr>
              <w:rFonts w:ascii="Calibri" w:hAnsi="Calibri" w:eastAsia="" w:cs="" w:asciiTheme="minorHAnsi" w:cstheme="minorBidi" w:eastAsiaTheme="minorEastAsia" w:hAnsiTheme="minorHAnsi"/>
            </w:rPr>
          </w:pPr>
          <w:hyperlink w:anchor="_Toc194916552">
            <w:r>
              <w:rPr>
                <w:webHidden/>
                <w:rStyle w:val="Vnculodendice"/>
                <w:rFonts w:eastAsia="Times New Roman" w:cs="Times New Roman" w:ascii="Times New Roman" w:hAnsi="Times New Roman"/>
                <w:b/>
              </w:rPr>
              <w:t>9</w:t>
            </w:r>
            <w:r>
              <w:rPr>
                <w:rStyle w:val="Vnculodendice"/>
                <w:rFonts w:eastAsia="" w:cs="" w:cstheme="minorBidi" w:eastAsiaTheme="minorEastAsia"/>
              </w:rPr>
              <w:tab/>
            </w:r>
            <w:r>
              <w:rPr>
                <w:rStyle w:val="Vnculodendice"/>
                <w:rFonts w:eastAsia="Times New Roman" w:cs="Times New Roman" w:ascii="Times New Roman" w:hAnsi="Times New Roman"/>
                <w:b/>
              </w:rPr>
              <w:t>OUTORGA</w:t>
            </w:r>
            <w:r>
              <w:rPr>
                <w:webHidden/>
              </w:rPr>
              <w:fldChar w:fldCharType="begin"/>
            </w:r>
            <w:r>
              <w:rPr>
                <w:webHidden/>
              </w:rPr>
              <w:instrText xml:space="preserve">PAGEREF _Toc194916552 \h</w:instrText>
            </w:r>
            <w:r>
              <w:rPr>
                <w:webHidden/>
              </w:rPr>
              <w:fldChar w:fldCharType="separate"/>
            </w:r>
            <w:r>
              <w:rPr>
                <w:rStyle w:val="Vnculodendice"/>
                <w:vanish w:val="false"/>
              </w:rPr>
              <w:tab/>
              <w:t>9</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53">
            <w:r>
              <w:rPr>
                <w:webHidden/>
                <w:rStyle w:val="Vnculodendice"/>
                <w:rFonts w:eastAsia="Times New Roman" w:cs="Times New Roman" w:ascii="Times New Roman" w:hAnsi="Times New Roman"/>
                <w:b/>
              </w:rPr>
              <w:t>10</w:t>
            </w:r>
            <w:r>
              <w:rPr>
                <w:rStyle w:val="Vnculodendice"/>
                <w:rFonts w:eastAsia="" w:cs="" w:cstheme="minorBidi" w:eastAsiaTheme="minorEastAsia"/>
              </w:rPr>
              <w:tab/>
            </w:r>
            <w:r>
              <w:rPr>
                <w:rStyle w:val="Vnculodendice"/>
                <w:rFonts w:eastAsia="Times New Roman" w:cs="Times New Roman" w:ascii="Times New Roman" w:hAnsi="Times New Roman"/>
                <w:b/>
              </w:rPr>
              <w:t>OBRIGAÇÕES E RESPONSABILIDADES DA CONCESSIONÁRIA NA EXECUÇÃO DOS SERVIÇOS</w:t>
            </w:r>
            <w:r>
              <w:rPr>
                <w:webHidden/>
              </w:rPr>
              <w:fldChar w:fldCharType="begin"/>
            </w:r>
            <w:r>
              <w:rPr>
                <w:webHidden/>
              </w:rPr>
              <w:instrText xml:space="preserve">PAGEREF _Toc194916553 \h</w:instrText>
            </w:r>
            <w:r>
              <w:rPr>
                <w:webHidden/>
              </w:rPr>
              <w:fldChar w:fldCharType="separate"/>
            </w:r>
            <w:r>
              <w:rPr>
                <w:rStyle w:val="Vnculodendice"/>
                <w:vanish w:val="false"/>
              </w:rPr>
              <w:tab/>
              <w:t>10</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54">
            <w:r>
              <w:rPr>
                <w:webHidden/>
                <w:rStyle w:val="Vnculodendice"/>
                <w:rFonts w:eastAsia="Times New Roman" w:cs="Times New Roman" w:ascii="Times New Roman" w:hAnsi="Times New Roman"/>
                <w:b/>
              </w:rPr>
              <w:t>11</w:t>
            </w:r>
            <w:r>
              <w:rPr>
                <w:rStyle w:val="Vnculodendice"/>
                <w:rFonts w:eastAsia="" w:cs="" w:cstheme="minorBidi" w:eastAsiaTheme="minorEastAsia"/>
              </w:rPr>
              <w:tab/>
            </w:r>
            <w:r>
              <w:rPr>
                <w:rStyle w:val="Vnculodendice"/>
                <w:rFonts w:eastAsia="Times New Roman" w:cs="Times New Roman" w:ascii="Times New Roman" w:hAnsi="Times New Roman"/>
                <w:b/>
              </w:rPr>
              <w:t>OBRIGAÇÕES DO PODER CONCEDENTE</w:t>
            </w:r>
            <w:r>
              <w:rPr>
                <w:webHidden/>
              </w:rPr>
              <w:fldChar w:fldCharType="begin"/>
            </w:r>
            <w:r>
              <w:rPr>
                <w:webHidden/>
              </w:rPr>
              <w:instrText xml:space="preserve">PAGEREF _Toc194916554 \h</w:instrText>
            </w:r>
            <w:r>
              <w:rPr>
                <w:webHidden/>
              </w:rPr>
              <w:fldChar w:fldCharType="separate"/>
            </w:r>
            <w:r>
              <w:rPr>
                <w:rStyle w:val="Vnculodendice"/>
                <w:vanish w:val="false"/>
              </w:rPr>
              <w:tab/>
              <w:t>12</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55">
            <w:r>
              <w:rPr>
                <w:webHidden/>
                <w:rStyle w:val="Vnculodendice"/>
                <w:rFonts w:eastAsia="Times New Roman" w:cs="Times New Roman" w:ascii="Times New Roman" w:hAnsi="Times New Roman"/>
                <w:b/>
              </w:rPr>
              <w:t>12</w:t>
            </w:r>
            <w:r>
              <w:rPr>
                <w:rStyle w:val="Vnculodendice"/>
                <w:rFonts w:eastAsia="" w:cs="" w:cstheme="minorBidi" w:eastAsiaTheme="minorEastAsia"/>
              </w:rPr>
              <w:tab/>
            </w:r>
            <w:r>
              <w:rPr>
                <w:rStyle w:val="Vnculodendice"/>
                <w:rFonts w:eastAsia="Times New Roman" w:cs="Times New Roman" w:ascii="Times New Roman" w:hAnsi="Times New Roman"/>
                <w:b/>
              </w:rPr>
              <w:t>CONTRATAÇÃO DE TERCEIROS PELA CONCESSIONÁRIA</w:t>
            </w:r>
            <w:r>
              <w:rPr>
                <w:webHidden/>
              </w:rPr>
              <w:fldChar w:fldCharType="begin"/>
            </w:r>
            <w:r>
              <w:rPr>
                <w:webHidden/>
              </w:rPr>
              <w:instrText xml:space="preserve">PAGEREF _Toc194916555 \h</w:instrText>
            </w:r>
            <w:r>
              <w:rPr>
                <w:webHidden/>
              </w:rPr>
              <w:fldChar w:fldCharType="separate"/>
            </w:r>
            <w:r>
              <w:rPr>
                <w:rStyle w:val="Vnculodendice"/>
                <w:vanish w:val="false"/>
              </w:rPr>
              <w:tab/>
              <w:t>13</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56">
            <w:r>
              <w:rPr>
                <w:webHidden/>
                <w:rStyle w:val="Vnculodendice"/>
                <w:rFonts w:eastAsia="Times New Roman" w:cs="Times New Roman" w:ascii="Times New Roman" w:hAnsi="Times New Roman"/>
                <w:b/>
              </w:rPr>
              <w:t>13</w:t>
            </w:r>
            <w:r>
              <w:rPr>
                <w:rStyle w:val="Vnculodendice"/>
                <w:rFonts w:eastAsia="" w:cs="" w:cstheme="minorBidi" w:eastAsiaTheme="minorEastAsia"/>
              </w:rPr>
              <w:tab/>
            </w:r>
            <w:r>
              <w:rPr>
                <w:rStyle w:val="Vnculodendice"/>
                <w:rFonts w:eastAsia="Times New Roman" w:cs="Times New Roman" w:ascii="Times New Roman" w:hAnsi="Times New Roman"/>
                <w:b/>
              </w:rPr>
              <w:t>DIREITOS DA CONCESSIONÁRIA</w:t>
            </w:r>
            <w:r>
              <w:rPr>
                <w:webHidden/>
              </w:rPr>
              <w:fldChar w:fldCharType="begin"/>
            </w:r>
            <w:r>
              <w:rPr>
                <w:webHidden/>
              </w:rPr>
              <w:instrText xml:space="preserve">PAGEREF _Toc194916556 \h</w:instrText>
            </w:r>
            <w:r>
              <w:rPr>
                <w:webHidden/>
              </w:rPr>
              <w:fldChar w:fldCharType="separate"/>
            </w:r>
            <w:r>
              <w:rPr>
                <w:rStyle w:val="Vnculodendice"/>
                <w:vanish w:val="false"/>
              </w:rPr>
              <w:tab/>
              <w:t>15</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57">
            <w:r>
              <w:rPr>
                <w:webHidden/>
                <w:rStyle w:val="Vnculodendice"/>
                <w:rFonts w:eastAsia="Times New Roman" w:cs="Times New Roman" w:ascii="Times New Roman" w:hAnsi="Times New Roman"/>
                <w:b/>
              </w:rPr>
              <w:t>14</w:t>
            </w:r>
            <w:r>
              <w:rPr>
                <w:rStyle w:val="Vnculodendice"/>
                <w:rFonts w:eastAsia="" w:cs="" w:cstheme="minorBidi" w:eastAsiaTheme="minorEastAsia"/>
              </w:rPr>
              <w:tab/>
            </w:r>
            <w:r>
              <w:rPr>
                <w:rStyle w:val="Vnculodendice"/>
                <w:rFonts w:eastAsia="Times New Roman" w:cs="Times New Roman" w:ascii="Times New Roman" w:hAnsi="Times New Roman"/>
                <w:b/>
              </w:rPr>
              <w:t>DA FISCALIZAÇÃO</w:t>
            </w:r>
            <w:r>
              <w:rPr>
                <w:webHidden/>
              </w:rPr>
              <w:fldChar w:fldCharType="begin"/>
            </w:r>
            <w:r>
              <w:rPr>
                <w:webHidden/>
              </w:rPr>
              <w:instrText xml:space="preserve">PAGEREF _Toc194916557 \h</w:instrText>
            </w:r>
            <w:r>
              <w:rPr>
                <w:webHidden/>
              </w:rPr>
              <w:fldChar w:fldCharType="separate"/>
            </w:r>
            <w:r>
              <w:rPr>
                <w:rStyle w:val="Vnculodendice"/>
                <w:vanish w:val="false"/>
              </w:rPr>
              <w:tab/>
              <w:t>16</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58">
            <w:r>
              <w:rPr>
                <w:webHidden/>
                <w:rStyle w:val="Vnculodendice"/>
                <w:rFonts w:eastAsia="Times New Roman" w:cs="Times New Roman" w:ascii="Times New Roman" w:hAnsi="Times New Roman"/>
                <w:b/>
              </w:rPr>
              <w:t>15</w:t>
            </w:r>
            <w:r>
              <w:rPr>
                <w:rStyle w:val="Vnculodendice"/>
                <w:rFonts w:eastAsia="" w:cs="" w:cstheme="minorBidi" w:eastAsiaTheme="minorEastAsia"/>
              </w:rPr>
              <w:tab/>
            </w:r>
            <w:r>
              <w:rPr>
                <w:rStyle w:val="Vnculodendice"/>
                <w:rFonts w:eastAsia="Times New Roman" w:cs="Times New Roman" w:ascii="Times New Roman" w:hAnsi="Times New Roman"/>
                <w:b/>
              </w:rPr>
              <w:t>SEGUROS</w:t>
            </w:r>
            <w:r>
              <w:rPr>
                <w:webHidden/>
              </w:rPr>
              <w:fldChar w:fldCharType="begin"/>
            </w:r>
            <w:r>
              <w:rPr>
                <w:webHidden/>
              </w:rPr>
              <w:instrText xml:space="preserve">PAGEREF _Toc194916558 \h</w:instrText>
            </w:r>
            <w:r>
              <w:rPr>
                <w:webHidden/>
              </w:rPr>
              <w:fldChar w:fldCharType="separate"/>
            </w:r>
            <w:r>
              <w:rPr>
                <w:rStyle w:val="Vnculodendice"/>
                <w:vanish w:val="false"/>
              </w:rPr>
              <w:tab/>
              <w:t>16</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59">
            <w:r>
              <w:rPr>
                <w:webHidden/>
                <w:rStyle w:val="Vnculodendice"/>
                <w:rFonts w:eastAsia="Times New Roman" w:cs="Times New Roman" w:ascii="Times New Roman" w:hAnsi="Times New Roman"/>
                <w:b/>
              </w:rPr>
              <w:t>16</w:t>
            </w:r>
            <w:r>
              <w:rPr>
                <w:rStyle w:val="Vnculodendice"/>
                <w:rFonts w:eastAsia="" w:cs="" w:cstheme="minorBidi" w:eastAsiaTheme="minorEastAsia"/>
              </w:rPr>
              <w:tab/>
            </w:r>
            <w:r>
              <w:rPr>
                <w:rStyle w:val="Vnculodendice"/>
                <w:rFonts w:eastAsia="Times New Roman" w:cs="Times New Roman" w:ascii="Times New Roman" w:hAnsi="Times New Roman"/>
                <w:b/>
              </w:rPr>
              <w:t>DA ALOCAÇÃO DE RISCOS</w:t>
            </w:r>
            <w:r>
              <w:rPr>
                <w:webHidden/>
              </w:rPr>
              <w:fldChar w:fldCharType="begin"/>
            </w:r>
            <w:r>
              <w:rPr>
                <w:webHidden/>
              </w:rPr>
              <w:instrText xml:space="preserve">PAGEREF _Toc194916559 \h</w:instrText>
            </w:r>
            <w:r>
              <w:rPr>
                <w:webHidden/>
              </w:rPr>
              <w:fldChar w:fldCharType="separate"/>
            </w:r>
            <w:r>
              <w:rPr>
                <w:rStyle w:val="Vnculodendice"/>
                <w:vanish w:val="false"/>
              </w:rPr>
              <w:tab/>
              <w:t>19</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60">
            <w:r>
              <w:rPr>
                <w:webHidden/>
                <w:rStyle w:val="Vnculodendice"/>
                <w:rFonts w:eastAsia="Times New Roman" w:cs="Times New Roman" w:ascii="Times New Roman" w:hAnsi="Times New Roman"/>
                <w:b/>
              </w:rPr>
              <w:t>17</w:t>
            </w:r>
            <w:r>
              <w:rPr>
                <w:rStyle w:val="Vnculodendice"/>
                <w:rFonts w:eastAsia="" w:cs="" w:cstheme="minorBidi" w:eastAsiaTheme="minorEastAsia"/>
              </w:rPr>
              <w:tab/>
            </w:r>
            <w:r>
              <w:rPr>
                <w:rStyle w:val="Vnculodendice"/>
                <w:rFonts w:eastAsia="Times New Roman" w:cs="Times New Roman" w:ascii="Times New Roman" w:hAnsi="Times New Roman"/>
                <w:b/>
              </w:rPr>
              <w:t>DOS RISCOS ASSUMIDOS PELA CONCESSIONÁRIA</w:t>
            </w:r>
            <w:r>
              <w:rPr>
                <w:webHidden/>
              </w:rPr>
              <w:fldChar w:fldCharType="begin"/>
            </w:r>
            <w:r>
              <w:rPr>
                <w:webHidden/>
              </w:rPr>
              <w:instrText xml:space="preserve">PAGEREF _Toc194916560 \h</w:instrText>
            </w:r>
            <w:r>
              <w:rPr>
                <w:webHidden/>
              </w:rPr>
              <w:fldChar w:fldCharType="separate"/>
            </w:r>
            <w:r>
              <w:rPr>
                <w:rStyle w:val="Vnculodendice"/>
                <w:vanish w:val="false"/>
              </w:rPr>
              <w:tab/>
              <w:t>19</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61">
            <w:r>
              <w:rPr>
                <w:webHidden/>
                <w:rStyle w:val="Vnculodendice"/>
                <w:rFonts w:eastAsia="Times New Roman" w:cs="Times New Roman" w:ascii="Times New Roman" w:hAnsi="Times New Roman"/>
                <w:b/>
              </w:rPr>
              <w:t>18</w:t>
            </w:r>
            <w:r>
              <w:rPr>
                <w:rStyle w:val="Vnculodendice"/>
                <w:rFonts w:eastAsia="" w:cs="" w:cstheme="minorBidi" w:eastAsiaTheme="minorEastAsia"/>
              </w:rPr>
              <w:tab/>
            </w:r>
            <w:r>
              <w:rPr>
                <w:rStyle w:val="Vnculodendice"/>
                <w:rFonts w:eastAsia="Times New Roman" w:cs="Times New Roman" w:ascii="Times New Roman" w:hAnsi="Times New Roman"/>
                <w:b/>
              </w:rPr>
              <w:t>DOS RISCOS NÃO ASSUMIDOS PELA CONCESSIONÁRIA</w:t>
            </w:r>
            <w:r>
              <w:rPr>
                <w:webHidden/>
              </w:rPr>
              <w:fldChar w:fldCharType="begin"/>
            </w:r>
            <w:r>
              <w:rPr>
                <w:webHidden/>
              </w:rPr>
              <w:instrText xml:space="preserve">PAGEREF _Toc194916561 \h</w:instrText>
            </w:r>
            <w:r>
              <w:rPr>
                <w:webHidden/>
              </w:rPr>
              <w:fldChar w:fldCharType="separate"/>
            </w:r>
            <w:r>
              <w:rPr>
                <w:rStyle w:val="Vnculodendice"/>
                <w:vanish w:val="false"/>
              </w:rPr>
              <w:tab/>
              <w:t>21</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62">
            <w:r>
              <w:rPr>
                <w:webHidden/>
                <w:rStyle w:val="Vnculodendice"/>
                <w:rFonts w:eastAsia="Times New Roman" w:cs="Times New Roman" w:ascii="Times New Roman" w:hAnsi="Times New Roman"/>
                <w:b/>
              </w:rPr>
              <w:t>19</w:t>
            </w:r>
            <w:r>
              <w:rPr>
                <w:rStyle w:val="Vnculodendice"/>
                <w:rFonts w:eastAsia="" w:cs="" w:cstheme="minorBidi" w:eastAsiaTheme="minorEastAsia"/>
              </w:rPr>
              <w:tab/>
            </w:r>
            <w:r>
              <w:rPr>
                <w:rStyle w:val="Vnculodendice"/>
                <w:rFonts w:eastAsia="Times New Roman" w:cs="Times New Roman" w:ascii="Times New Roman" w:hAnsi="Times New Roman"/>
                <w:b/>
              </w:rPr>
              <w:t>DO EQUILÍBRIO ECONÔMICO-FINANCEIRO</w:t>
            </w:r>
            <w:r>
              <w:rPr>
                <w:webHidden/>
              </w:rPr>
              <w:fldChar w:fldCharType="begin"/>
            </w:r>
            <w:r>
              <w:rPr>
                <w:webHidden/>
              </w:rPr>
              <w:instrText xml:space="preserve">PAGEREF _Toc194916562 \h</w:instrText>
            </w:r>
            <w:r>
              <w:rPr>
                <w:webHidden/>
              </w:rPr>
              <w:fldChar w:fldCharType="separate"/>
            </w:r>
            <w:r>
              <w:rPr>
                <w:rStyle w:val="Vnculodendice"/>
                <w:vanish w:val="false"/>
              </w:rPr>
              <w:tab/>
              <w:t>23</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63">
            <w:r>
              <w:rPr>
                <w:webHidden/>
                <w:rStyle w:val="Vnculodendice"/>
                <w:rFonts w:eastAsia="Times New Roman" w:cs="Times New Roman" w:ascii="Times New Roman" w:hAnsi="Times New Roman"/>
                <w:b/>
              </w:rPr>
              <w:t>20</w:t>
            </w:r>
            <w:r>
              <w:rPr>
                <w:rStyle w:val="Vnculodendice"/>
                <w:rFonts w:eastAsia="" w:cs="" w:cstheme="minorBidi" w:eastAsiaTheme="minorEastAsia"/>
              </w:rPr>
              <w:tab/>
            </w:r>
            <w:r>
              <w:rPr>
                <w:rStyle w:val="Vnculodendice"/>
                <w:rFonts w:eastAsia="Times New Roman" w:cs="Times New Roman" w:ascii="Times New Roman" w:hAnsi="Times New Roman"/>
                <w:b/>
              </w:rPr>
              <w:t>DO PROCEDIMENTO PARA RECOMPOSIÇÃO DO EQUILÍBRIO ECONÔMICO-FINANCEIRO</w:t>
            </w:r>
            <w:r>
              <w:rPr>
                <w:webHidden/>
              </w:rPr>
              <w:fldChar w:fldCharType="begin"/>
            </w:r>
            <w:r>
              <w:rPr>
                <w:webHidden/>
              </w:rPr>
              <w:instrText xml:space="preserve">PAGEREF _Toc194916563 \h</w:instrText>
            </w:r>
            <w:r>
              <w:rPr>
                <w:webHidden/>
              </w:rPr>
              <w:fldChar w:fldCharType="separate"/>
            </w:r>
            <w:r>
              <w:rPr>
                <w:rStyle w:val="Vnculodendice"/>
                <w:vanish w:val="false"/>
              </w:rPr>
              <w:tab/>
              <w:t>24</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64">
            <w:r>
              <w:rPr>
                <w:webHidden/>
                <w:rStyle w:val="Vnculodendice"/>
                <w:rFonts w:eastAsia="Times New Roman" w:cs="Times New Roman" w:ascii="Times New Roman" w:hAnsi="Times New Roman"/>
                <w:b/>
              </w:rPr>
              <w:t>21</w:t>
            </w:r>
            <w:r>
              <w:rPr>
                <w:rStyle w:val="Vnculodendice"/>
                <w:rFonts w:eastAsia="" w:cs="" w:cstheme="minorBidi" w:eastAsiaTheme="minorEastAsia"/>
              </w:rPr>
              <w:tab/>
            </w:r>
            <w:r>
              <w:rPr>
                <w:rStyle w:val="Vnculodendice"/>
              </w:rPr>
              <w:t xml:space="preserve">     </w:t>
            </w:r>
            <w:r>
              <w:rPr>
                <w:rStyle w:val="Vnculodendice"/>
                <w:rFonts w:eastAsia="Times New Roman" w:cs="Times New Roman" w:ascii="Times New Roman" w:hAnsi="Times New Roman"/>
                <w:b/>
              </w:rPr>
              <w:t>SANÇÕES ADMINISTRATIVAS E CONTRATUAIS</w:t>
            </w:r>
            <w:r>
              <w:rPr>
                <w:webHidden/>
              </w:rPr>
              <w:fldChar w:fldCharType="begin"/>
            </w:r>
            <w:r>
              <w:rPr>
                <w:webHidden/>
              </w:rPr>
              <w:instrText xml:space="preserve">PAGEREF _Toc194916564 \h</w:instrText>
            </w:r>
            <w:r>
              <w:rPr>
                <w:webHidden/>
              </w:rPr>
              <w:fldChar w:fldCharType="separate"/>
            </w:r>
            <w:r>
              <w:rPr>
                <w:rStyle w:val="Vnculodendice"/>
                <w:vanish w:val="false"/>
              </w:rPr>
              <w:tab/>
              <w:t>27</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65">
            <w:r>
              <w:rPr>
                <w:webHidden/>
                <w:rStyle w:val="Vnculodendice"/>
                <w:rFonts w:eastAsia="Times New Roman" w:cs="Times New Roman" w:ascii="Times New Roman" w:hAnsi="Times New Roman"/>
                <w:b/>
              </w:rPr>
              <w:t>22</w:t>
            </w:r>
            <w:r>
              <w:rPr>
                <w:rStyle w:val="Vnculodendice"/>
                <w:rFonts w:eastAsia="" w:cs="" w:cstheme="minorBidi" w:eastAsiaTheme="minorEastAsia"/>
              </w:rPr>
              <w:tab/>
            </w:r>
            <w:r>
              <w:rPr>
                <w:rStyle w:val="Vnculodendice"/>
                <w:rFonts w:eastAsia="Times New Roman" w:cs="Times New Roman" w:ascii="Times New Roman" w:hAnsi="Times New Roman"/>
                <w:b/>
              </w:rPr>
              <w:t>DO PROCEDIMENTO DE APLICAÇÃO DE PENALIDADES</w:t>
            </w:r>
            <w:r>
              <w:rPr>
                <w:webHidden/>
              </w:rPr>
              <w:fldChar w:fldCharType="begin"/>
            </w:r>
            <w:r>
              <w:rPr>
                <w:webHidden/>
              </w:rPr>
              <w:instrText xml:space="preserve">PAGEREF _Toc194916565 \h</w:instrText>
            </w:r>
            <w:r>
              <w:rPr>
                <w:webHidden/>
              </w:rPr>
              <w:fldChar w:fldCharType="separate"/>
            </w:r>
            <w:r>
              <w:rPr>
                <w:rStyle w:val="Vnculodendice"/>
                <w:vanish w:val="false"/>
              </w:rPr>
              <w:tab/>
              <w:t>30</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66">
            <w:r>
              <w:rPr>
                <w:webHidden/>
                <w:rStyle w:val="Vnculodendice"/>
                <w:rFonts w:eastAsia="Times New Roman" w:cs="Times New Roman" w:ascii="Times New Roman" w:hAnsi="Times New Roman"/>
                <w:b/>
              </w:rPr>
              <w:t>23</w:t>
            </w:r>
            <w:r>
              <w:rPr>
                <w:rStyle w:val="Vnculodendice"/>
                <w:rFonts w:eastAsia="" w:cs="" w:cstheme="minorBidi" w:eastAsiaTheme="minorEastAsia"/>
              </w:rPr>
              <w:tab/>
            </w:r>
            <w:r>
              <w:rPr>
                <w:rStyle w:val="Vnculodendice"/>
                <w:rFonts w:eastAsia="Times New Roman" w:cs="Times New Roman" w:ascii="Times New Roman" w:hAnsi="Times New Roman"/>
                <w:b/>
              </w:rPr>
              <w:t>EXTINÇÃO DO CONTRATO</w:t>
            </w:r>
            <w:r>
              <w:rPr>
                <w:webHidden/>
              </w:rPr>
              <w:fldChar w:fldCharType="begin"/>
            </w:r>
            <w:r>
              <w:rPr>
                <w:webHidden/>
              </w:rPr>
              <w:instrText xml:space="preserve">PAGEREF _Toc194916566 \h</w:instrText>
            </w:r>
            <w:r>
              <w:rPr>
                <w:webHidden/>
              </w:rPr>
              <w:fldChar w:fldCharType="separate"/>
            </w:r>
            <w:r>
              <w:rPr>
                <w:rStyle w:val="Vnculodendice"/>
                <w:vanish w:val="false"/>
              </w:rPr>
              <w:tab/>
              <w:t>32</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67">
            <w:r>
              <w:rPr>
                <w:webHidden/>
                <w:rStyle w:val="Vnculodendice"/>
                <w:rFonts w:eastAsia="Times New Roman" w:cs="Times New Roman" w:ascii="Times New Roman" w:hAnsi="Times New Roman"/>
                <w:b/>
              </w:rPr>
              <w:t>24</w:t>
            </w:r>
            <w:r>
              <w:rPr>
                <w:rStyle w:val="Vnculodendice"/>
                <w:rFonts w:eastAsia="" w:cs="" w:cstheme="minorBidi" w:eastAsiaTheme="minorEastAsia"/>
              </w:rPr>
              <w:tab/>
            </w:r>
            <w:r>
              <w:rPr>
                <w:rStyle w:val="Vnculodendice"/>
                <w:rFonts w:eastAsia="Times New Roman" w:cs="Times New Roman" w:ascii="Times New Roman" w:hAnsi="Times New Roman"/>
                <w:b/>
              </w:rPr>
              <w:t>ADVENTO DO TERMO CONTRATUAL</w:t>
            </w:r>
            <w:r>
              <w:rPr>
                <w:webHidden/>
              </w:rPr>
              <w:fldChar w:fldCharType="begin"/>
            </w:r>
            <w:r>
              <w:rPr>
                <w:webHidden/>
              </w:rPr>
              <w:instrText xml:space="preserve">PAGEREF _Toc194916567 \h</w:instrText>
            </w:r>
            <w:r>
              <w:rPr>
                <w:webHidden/>
              </w:rPr>
              <w:fldChar w:fldCharType="separate"/>
            </w:r>
            <w:r>
              <w:rPr>
                <w:rStyle w:val="Vnculodendice"/>
                <w:vanish w:val="false"/>
              </w:rPr>
              <w:tab/>
              <w:t>32</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68">
            <w:r>
              <w:rPr>
                <w:webHidden/>
                <w:rStyle w:val="Vnculodendice"/>
                <w:rFonts w:eastAsia="Times New Roman" w:cs="Times New Roman" w:ascii="Times New Roman" w:hAnsi="Times New Roman"/>
                <w:b/>
              </w:rPr>
              <w:t>25</w:t>
            </w:r>
            <w:r>
              <w:rPr>
                <w:rStyle w:val="Vnculodendice"/>
                <w:rFonts w:eastAsia="" w:cs="" w:cstheme="minorBidi" w:eastAsiaTheme="minorEastAsia"/>
              </w:rPr>
              <w:tab/>
            </w:r>
            <w:r>
              <w:rPr>
                <w:rStyle w:val="Vnculodendice"/>
                <w:rFonts w:eastAsia="Times New Roman" w:cs="Times New Roman" w:ascii="Times New Roman" w:hAnsi="Times New Roman"/>
                <w:b/>
              </w:rPr>
              <w:t>DA CADUCIDADE</w:t>
            </w:r>
            <w:r>
              <w:rPr>
                <w:webHidden/>
              </w:rPr>
              <w:fldChar w:fldCharType="begin"/>
            </w:r>
            <w:r>
              <w:rPr>
                <w:webHidden/>
              </w:rPr>
              <w:instrText xml:space="preserve">PAGEREF _Toc194916568 \h</w:instrText>
            </w:r>
            <w:r>
              <w:rPr>
                <w:webHidden/>
              </w:rPr>
              <w:fldChar w:fldCharType="separate"/>
            </w:r>
            <w:r>
              <w:rPr>
                <w:rStyle w:val="Vnculodendice"/>
                <w:vanish w:val="false"/>
              </w:rPr>
              <w:tab/>
              <w:t>33</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69">
            <w:r>
              <w:rPr>
                <w:webHidden/>
                <w:rStyle w:val="Vnculodendice"/>
                <w:rFonts w:eastAsia="Times New Roman" w:cs="Times New Roman" w:ascii="Times New Roman" w:hAnsi="Times New Roman"/>
                <w:b/>
              </w:rPr>
              <w:t>26</w:t>
            </w:r>
            <w:r>
              <w:rPr>
                <w:rStyle w:val="Vnculodendice"/>
                <w:rFonts w:eastAsia="" w:cs="" w:cstheme="minorBidi" w:eastAsiaTheme="minorEastAsia"/>
              </w:rPr>
              <w:tab/>
            </w:r>
            <w:r>
              <w:rPr>
                <w:rStyle w:val="Vnculodendice"/>
                <w:rFonts w:eastAsia="Times New Roman" w:cs="Times New Roman" w:ascii="Times New Roman" w:hAnsi="Times New Roman"/>
                <w:b/>
              </w:rPr>
              <w:t>DA RESCISÃO, INTERVENÇÃO, REVOGAÇÃO E EXTINÇÃO DA CONCESSÃO</w:t>
            </w:r>
            <w:r>
              <w:rPr>
                <w:webHidden/>
              </w:rPr>
              <w:fldChar w:fldCharType="begin"/>
            </w:r>
            <w:r>
              <w:rPr>
                <w:webHidden/>
              </w:rPr>
              <w:instrText xml:space="preserve">PAGEREF _Toc194916569 \h</w:instrText>
            </w:r>
            <w:r>
              <w:rPr>
                <w:webHidden/>
              </w:rPr>
              <w:fldChar w:fldCharType="separate"/>
            </w:r>
            <w:r>
              <w:rPr>
                <w:rStyle w:val="Vnculodendice"/>
                <w:vanish w:val="false"/>
              </w:rPr>
              <w:tab/>
              <w:t>34</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70">
            <w:r>
              <w:rPr>
                <w:webHidden/>
                <w:rStyle w:val="Vnculodendice"/>
                <w:rFonts w:eastAsia="Times New Roman" w:cs="Times New Roman" w:ascii="Times New Roman" w:hAnsi="Times New Roman"/>
                <w:b/>
              </w:rPr>
              <w:t>27</w:t>
            </w:r>
            <w:r>
              <w:rPr>
                <w:rStyle w:val="Vnculodendice"/>
                <w:rFonts w:eastAsia="" w:cs="" w:cstheme="minorBidi" w:eastAsiaTheme="minorEastAsia"/>
              </w:rPr>
              <w:tab/>
            </w:r>
            <w:r>
              <w:rPr>
                <w:rStyle w:val="Vnculodendice"/>
                <w:rFonts w:eastAsia="Times New Roman" w:cs="Times New Roman" w:ascii="Times New Roman" w:hAnsi="Times New Roman"/>
                <w:b/>
              </w:rPr>
              <w:t>SOLUÇÃO DE DIVERGÊNCIAS</w:t>
            </w:r>
            <w:r>
              <w:rPr>
                <w:webHidden/>
              </w:rPr>
              <w:fldChar w:fldCharType="begin"/>
            </w:r>
            <w:r>
              <w:rPr>
                <w:webHidden/>
              </w:rPr>
              <w:instrText xml:space="preserve">PAGEREF _Toc194916570 \h</w:instrText>
            </w:r>
            <w:r>
              <w:rPr>
                <w:webHidden/>
              </w:rPr>
              <w:fldChar w:fldCharType="separate"/>
            </w:r>
            <w:r>
              <w:rPr>
                <w:rStyle w:val="Vnculodendice"/>
                <w:vanish w:val="false"/>
              </w:rPr>
              <w:tab/>
              <w:t>36</w:t>
            </w:r>
            <w:r>
              <w:rPr>
                <w:webHidden/>
              </w:rPr>
              <w:fldChar w:fldCharType="end"/>
            </w:r>
          </w:hyperlink>
        </w:p>
        <w:p>
          <w:pPr>
            <w:pStyle w:val="TOC1"/>
            <w:tabs>
              <w:tab w:val="clear" w:pos="720"/>
              <w:tab w:val="left" w:pos="660" w:leader="none"/>
              <w:tab w:val="right" w:pos="8494" w:leader="dot"/>
            </w:tabs>
            <w:rPr>
              <w:rFonts w:ascii="Calibri" w:hAnsi="Calibri" w:eastAsia="" w:cs="" w:asciiTheme="minorHAnsi" w:cstheme="minorBidi" w:eastAsiaTheme="minorEastAsia" w:hAnsiTheme="minorHAnsi"/>
            </w:rPr>
          </w:pPr>
          <w:hyperlink w:anchor="_Toc194916571">
            <w:r>
              <w:rPr>
                <w:webHidden/>
                <w:rStyle w:val="Vnculodendice"/>
                <w:rFonts w:eastAsia="Times New Roman" w:cs="Times New Roman" w:ascii="Times New Roman" w:hAnsi="Times New Roman"/>
                <w:b/>
              </w:rPr>
              <w:t>28</w:t>
            </w:r>
            <w:r>
              <w:rPr>
                <w:rStyle w:val="Vnculodendice"/>
                <w:rFonts w:eastAsia="" w:cs="" w:cstheme="minorBidi" w:eastAsiaTheme="minorEastAsia"/>
              </w:rPr>
              <w:tab/>
            </w:r>
            <w:r>
              <w:rPr>
                <w:rStyle w:val="Vnculodendice"/>
                <w:rFonts w:eastAsia="Times New Roman" w:cs="Times New Roman" w:ascii="Times New Roman" w:hAnsi="Times New Roman"/>
                <w:b/>
              </w:rPr>
              <w:t>DISPOSIÇÕES FINAIS</w:t>
            </w:r>
            <w:r>
              <w:rPr>
                <w:webHidden/>
              </w:rPr>
              <w:fldChar w:fldCharType="begin"/>
            </w:r>
            <w:r>
              <w:rPr>
                <w:webHidden/>
              </w:rPr>
              <w:instrText xml:space="preserve">PAGEREF _Toc194916571 \h</w:instrText>
            </w:r>
            <w:r>
              <w:rPr>
                <w:webHidden/>
              </w:rPr>
              <w:fldChar w:fldCharType="separate"/>
            </w:r>
            <w:r>
              <w:rPr>
                <w:rStyle w:val="Vnculodendice"/>
                <w:vanish w:val="false"/>
              </w:rPr>
              <w:tab/>
              <w:t>37</w:t>
            </w:r>
            <w:r>
              <w:rPr>
                <w:webHidden/>
              </w:rPr>
              <w:fldChar w:fldCharType="end"/>
            </w:r>
          </w:hyperlink>
        </w:p>
        <w:p>
          <w:pPr>
            <w:pStyle w:val="Normal"/>
            <w:rPr/>
          </w:pPr>
          <w:r>
            <w:rPr/>
          </w:r>
          <w:r>
            <w:rPr/>
            <w:fldChar w:fldCharType="end"/>
          </w:r>
        </w:p>
      </w:sdtContent>
    </w:sdt>
    <w:p>
      <w:pPr>
        <w:pStyle w:val="Normal"/>
        <w:pBdr/>
        <w:tabs>
          <w:tab w:val="clear" w:pos="720"/>
          <w:tab w:val="left" w:pos="660" w:leader="none"/>
          <w:tab w:val="right" w:pos="8494" w:leader="none"/>
        </w:tabs>
        <w:spacing w:lineRule="auto" w:line="319"/>
        <w:rPr>
          <w:rFonts w:ascii="Times New Roman" w:hAnsi="Times New Roman" w:cs="Times New Roman"/>
        </w:rPr>
      </w:pPr>
      <w:r>
        <w:rPr>
          <w:rFonts w:cs="Times New Roman" w:ascii="Times New Roman" w:hAnsi="Times New Roman"/>
        </w:rPr>
      </w:r>
    </w:p>
    <w:p>
      <w:pPr>
        <w:pStyle w:val="Normal"/>
        <w:pBdr/>
        <w:tabs>
          <w:tab w:val="clear" w:pos="720"/>
          <w:tab w:val="left" w:pos="660" w:leader="none"/>
          <w:tab w:val="right" w:pos="8494" w:leader="none"/>
        </w:tabs>
        <w:spacing w:lineRule="auto" w:line="319"/>
        <w:rPr>
          <w:rFonts w:ascii="Times New Roman" w:hAnsi="Times New Roman" w:cs="Times New Roman"/>
        </w:rPr>
      </w:pPr>
      <w:r>
        <w:rPr>
          <w:rFonts w:cs="Times New Roman" w:ascii="Times New Roman" w:hAnsi="Times New Roman"/>
        </w:rPr>
      </w:r>
    </w:p>
    <w:p>
      <w:pPr>
        <w:pStyle w:val="Normal"/>
        <w:pBdr/>
        <w:tabs>
          <w:tab w:val="clear" w:pos="720"/>
          <w:tab w:val="left" w:pos="660" w:leader="none"/>
          <w:tab w:val="right" w:pos="8494" w:leader="none"/>
        </w:tabs>
        <w:spacing w:lineRule="auto" w:line="319"/>
        <w:rPr>
          <w:rFonts w:ascii="Times New Roman" w:hAnsi="Times New Roman" w:cs="Times New Roman"/>
        </w:rPr>
      </w:pPr>
      <w:r>
        <w:rPr>
          <w:rFonts w:cs="Times New Roman" w:ascii="Times New Roman" w:hAnsi="Times New Roman"/>
        </w:rPr>
      </w:r>
    </w:p>
    <w:p>
      <w:pPr>
        <w:pStyle w:val="Normal"/>
        <w:pBdr/>
        <w:tabs>
          <w:tab w:val="clear" w:pos="720"/>
          <w:tab w:val="left" w:pos="660" w:leader="none"/>
          <w:tab w:val="right" w:pos="8494" w:leader="none"/>
        </w:tabs>
        <w:spacing w:lineRule="auto" w:line="319"/>
        <w:rPr>
          <w:rFonts w:ascii="Times New Roman" w:hAnsi="Times New Roman" w:eastAsia="Times New Roman" w:cs="Times New Roman"/>
          <w:sz w:val="24"/>
          <w:szCs w:val="24"/>
        </w:rPr>
      </w:pPr>
      <w:r>
        <w:rPr>
          <w:rFonts w:cs="Times New Roman" w:ascii="Times New Roman" w:hAnsi="Times New Roman"/>
        </w:rPr>
        <w:t>P</w:t>
      </w:r>
      <w:r>
        <w:rPr>
          <w:rFonts w:eastAsia="Times New Roman" w:cs="Times New Roman" w:ascii="Times New Roman" w:hAnsi="Times New Roman"/>
          <w:sz w:val="24"/>
          <w:szCs w:val="24"/>
        </w:rPr>
        <w:t>rocesso administrativo PROA n.º: 25/8050-0011296-6</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Contrato n.º: [●]/[●]</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ind w:left="3969"/>
        <w:jc w:val="both"/>
        <w:rPr>
          <w:rFonts w:ascii="Times New Roman" w:hAnsi="Times New Roman" w:eastAsia="Times New Roman" w:cs="Times New Roman"/>
          <w:b/>
          <w:sz w:val="24"/>
          <w:szCs w:val="24"/>
        </w:rPr>
      </w:pPr>
      <w:bookmarkStart w:id="2" w:name="_heading=h.30j0zll"/>
      <w:bookmarkEnd w:id="2"/>
      <w:r>
        <w:rPr>
          <w:rFonts w:eastAsia="Times New Roman" w:cs="Times New Roman" w:ascii="Times New Roman" w:hAnsi="Times New Roman"/>
          <w:b/>
          <w:sz w:val="24"/>
          <w:szCs w:val="24"/>
        </w:rPr>
        <w:t>CONCESSÃO DOS SERVIÇOS FUNERÁRIOS DO MUNICÍPIO DE CAXIAS DO SUL, QUE CELEBRAM O MUNICÍPIO DE CAXIAS DO SUL – RS, POR INTERMÉDIO DA SECRETARIA MUNICIPAL DO MEIO AMBIENTE, E A [●].</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Aos [●] dia do mês de [●] de 20[●], tendo, de um lado, o [●], doravante PODER CONCEDENTE, inscrito no CNPJ sob o nº [●], neste ato representado pelo Prefeito Municipal [●], CPF [●], pela Secretaria Municipal do Meio Ambiente, representada pelo Secretário, Sr. [●], CPF [●], e, de outro lado, a [●], inscrita no CNPJ sob o nº [●], com endereço à Rua [●], nº [●], Bairro [●], na cidade de [●], Estado de [●], CEP [●], neste ato representada pelo Sr. [●], brasileiro, [estado civil], [profissão], portador da CI nº [●], expedida pela [●]e CPF nº [●], e por seu Diretor [●], Sr. [●], brasileiro, [estado civil], [profissão], portador da CI nº [●], expedida pela [●] e CPF nº [●], na forma dos seus atos constitutivos, doravante denominada CONCESSIONÁRIA,</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Considerando:</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w:t>
        <w:tab/>
        <w:t>Que o PODER CONCEDENTE, autorizado pela Lei Complementar Municipal nº 670, de 16 de dezembro de 2021, realizou procedimento licitatório, na modalidade de concorrência pública, para delegação, por meio de concessão, da prestação dos serviços funerários no Município de Caxias do Sul;</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w:t>
        <w:tab/>
        <w:t>Que, por este regular procedimento licitatório, foi selecionado [●], em conformidade com ato do Secretário Municipal [●], publicado no Diário Oficial Eletrônico (“DOE”) do dia [●] de [●] de 20[●]; e</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w:t>
        <w:tab/>
        <w:t xml:space="preserve">Que, na forma que dispõe o Edital de Concorrência nº </w:t>
      </w:r>
      <w:r>
        <w:rPr>
          <w:rFonts w:eastAsia="Times New Roman" w:cs="Times New Roman" w:ascii="Times New Roman" w:hAnsi="Times New Roman"/>
          <w:sz w:val="24"/>
          <w:szCs w:val="24"/>
        </w:rPr>
        <w:t>84</w:t>
      </w:r>
      <w:r>
        <w:rPr>
          <w:rFonts w:eastAsia="Times New Roman" w:cs="Times New Roman" w:ascii="Times New Roman" w:hAnsi="Times New Roman"/>
          <w:sz w:val="24"/>
          <w:szCs w:val="24"/>
        </w:rPr>
        <w:t>/202</w:t>
      </w:r>
      <w:r>
        <w:rPr>
          <w:rFonts w:eastAsia="Times New Roman" w:cs="Times New Roman" w:ascii="Times New Roman" w:hAnsi="Times New Roman"/>
          <w:sz w:val="24"/>
          <w:szCs w:val="24"/>
        </w:rPr>
        <w:t>6</w:t>
      </w:r>
      <w:r>
        <w:rPr>
          <w:rFonts w:eastAsia="Times New Roman" w:cs="Times New Roman" w:ascii="Times New Roman" w:hAnsi="Times New Roman"/>
          <w:sz w:val="24"/>
          <w:szCs w:val="24"/>
        </w:rPr>
        <w:t xml:space="preserve"> (“EDITAL”), [●], atendeu às exigências para assinatura do CONTRATO estabelecidas no EDITAL, têm as PARTES entre si, justas e acordadas, as condições expressas no presente CONTRATO, que será regido pelas normas e Cláusulas referidas a seguir.</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Heading1"/>
        <w:numPr>
          <w:ilvl w:val="0"/>
          <w:numId w:val="9"/>
        </w:numPr>
        <w:spacing w:lineRule="auto" w:line="319" w:before="0" w:after="0"/>
        <w:jc w:val="both"/>
        <w:rPr>
          <w:rFonts w:ascii="Times New Roman" w:hAnsi="Times New Roman" w:eastAsia="Times New Roman" w:cs="Times New Roman"/>
          <w:color w:val="000000"/>
          <w:sz w:val="24"/>
          <w:szCs w:val="24"/>
        </w:rPr>
      </w:pPr>
      <w:bookmarkStart w:id="3" w:name="_Toc194916544"/>
      <w:bookmarkStart w:id="4" w:name="_heading=h.1fob9te"/>
      <w:bookmarkEnd w:id="4"/>
      <w:r>
        <w:rPr>
          <w:rFonts w:eastAsia="Times New Roman" w:cs="Times New Roman" w:ascii="Times New Roman" w:hAnsi="Times New Roman"/>
          <w:b/>
          <w:color w:val="000000"/>
          <w:sz w:val="24"/>
          <w:szCs w:val="24"/>
        </w:rPr>
        <w:t>LEGISLAÇÃO APLICÁVEL</w:t>
      </w:r>
      <w:bookmarkEnd w:id="3"/>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CONCESSÃO será regida pelas regras previstas neste CONTRATO e nos ANEXOS; pela Lei federal nº 8.987, de 13 de fevereiro de 1995 (“LEI DE CONCESSÕES”); pela Lei federal nº 14.133, de 1º de abril de 2021 (“LEI DE LICITAÇÕES”); Lei Complementar Municipal n.º 670 de 16 de dezembro de 2021 (“LEI AUTORIZATIVA”); e alterações posteriores, e pelas demais normas vigentes sobre a matéria.</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color w:val="000000"/>
          <w:sz w:val="24"/>
          <w:szCs w:val="24"/>
        </w:rPr>
      </w:pPr>
      <w:bookmarkStart w:id="5" w:name="_Toc194916545"/>
      <w:bookmarkStart w:id="6" w:name="_heading=h.3znysh7"/>
      <w:bookmarkEnd w:id="6"/>
      <w:r>
        <w:rPr>
          <w:rFonts w:eastAsia="Times New Roman" w:cs="Times New Roman" w:ascii="Times New Roman" w:hAnsi="Times New Roman"/>
          <w:b/>
          <w:color w:val="000000"/>
          <w:sz w:val="24"/>
          <w:szCs w:val="24"/>
        </w:rPr>
        <w:t>INTERPRETAÇÃO</w:t>
      </w:r>
      <w:bookmarkEnd w:id="5"/>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Para os fins deste CONTRATO e dos ANEXOS, salvo disposição expressa em contrário, deverão ser compreendidos e interpretados de acordo com as seguintes regras: </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0"/>
          <w:numId w:val="7"/>
        </w:numPr>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Os títulos das Cláusulas do CONTRATO e dos ANEXOS não devem ser usados na sua aplicação ou interpretação;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7"/>
        </w:numPr>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As referências ao CONTRATO ou a qualquer outro documento incluem eventuais alterações e aditivos que venham a ser celebrados entre as PARTES;</w:t>
      </w:r>
    </w:p>
    <w:p>
      <w:pPr>
        <w:pStyle w:val="Normal"/>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7"/>
        </w:numPr>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No caso de divergência entre o CONTRATO e os ANEXOS, prevalecerá o disposto no CONTRATO;</w:t>
      </w:r>
    </w:p>
    <w:p>
      <w:pPr>
        <w:pStyle w:val="Normal"/>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7"/>
        </w:numPr>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No caso de divergência entre os ANEXOS, prevalecerão aqueles emitidos pelo PODER CONCEDENTE; </w:t>
      </w:r>
    </w:p>
    <w:p>
      <w:pPr>
        <w:pStyle w:val="Normal"/>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7"/>
        </w:numPr>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No caso de divergência entre os ANEXOS emitidos pelo PODER CONCEDENTE, prevalecerá aquele de data mais recente;</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7"/>
        </w:numPr>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As referências à lei, ao decreto, à portaria ou à resolução neste CONTRATO deverão ser interpretadas como o próprio ato em si ou qualquer outro que vier a substituí-lo.</w:t>
      </w:r>
    </w:p>
    <w:p>
      <w:pPr>
        <w:pStyle w:val="Normal"/>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7"/>
        </w:numPr>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As referências aos horários se referem ao horário oficial de Brasília;</w:t>
      </w:r>
    </w:p>
    <w:p>
      <w:pPr>
        <w:pStyle w:val="Normal"/>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7"/>
        </w:numPr>
        <w:pBdr/>
        <w:spacing w:lineRule="auto" w:line="319"/>
        <w:ind w:hanging="709" w:left="1843"/>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No caso de divergência entre:</w:t>
      </w:r>
    </w:p>
    <w:p>
      <w:pPr>
        <w:pStyle w:val="Normal"/>
        <w:pBdr/>
        <w:spacing w:lineRule="auto" w:line="319"/>
        <w:ind w:left="108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4"/>
        </w:numPr>
        <w:pBdr/>
        <w:spacing w:lineRule="auto" w:line="319"/>
        <w:ind w:hanging="425" w:left="212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Os documentos impressos e os gravados em meio magnético, prevalecerão os textos impressos; e</w:t>
      </w:r>
    </w:p>
    <w:p>
      <w:pPr>
        <w:pStyle w:val="Normal"/>
        <w:pBdr/>
        <w:spacing w:lineRule="auto" w:line="319"/>
        <w:ind w:hanging="425" w:left="212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4"/>
        </w:numPr>
        <w:pBdr/>
        <w:spacing w:lineRule="auto" w:line="319"/>
        <w:ind w:hanging="425" w:left="212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Números e sua expressão por extenso, prevalecerá a forma por extenso.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CONCESSIONÁRIA estará sempre vinculada ao disposto no CONTRATO, nos ANEXOS, no instrumento convocatório da CONCESSÃO, na documentação e propostas apresentadas, bem como na legislação e regulamentação brasileiras, em tudo que disser respeito à execução do objeto da CONCESSÃO.</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Heading1"/>
        <w:numPr>
          <w:ilvl w:val="0"/>
          <w:numId w:val="9"/>
        </w:numPr>
        <w:spacing w:lineRule="auto" w:line="319" w:before="0" w:after="0"/>
        <w:jc w:val="both"/>
        <w:rPr>
          <w:rFonts w:ascii="Times New Roman" w:hAnsi="Times New Roman" w:eastAsia="Times New Roman" w:cs="Times New Roman"/>
          <w:color w:val="000000"/>
          <w:sz w:val="24"/>
          <w:szCs w:val="24"/>
        </w:rPr>
      </w:pPr>
      <w:bookmarkStart w:id="7" w:name="_Toc194916546"/>
      <w:bookmarkStart w:id="8" w:name="_heading=h.2et92p0"/>
      <w:bookmarkEnd w:id="8"/>
      <w:r>
        <w:rPr>
          <w:rFonts w:eastAsia="Times New Roman" w:cs="Times New Roman" w:ascii="Times New Roman" w:hAnsi="Times New Roman"/>
          <w:b/>
          <w:color w:val="000000"/>
          <w:sz w:val="24"/>
          <w:szCs w:val="24"/>
        </w:rPr>
        <w:t>ANEXOS</w:t>
      </w:r>
      <w:bookmarkEnd w:id="7"/>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Para todos os fins, integram o CONTRATO os seguintes ANEXOS:</w:t>
      </w:r>
    </w:p>
    <w:p>
      <w:pPr>
        <w:pStyle w:val="Normal"/>
        <w:spacing w:lineRule="auto" w:line="319"/>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keepNext w:val="true"/>
        <w:pBdr/>
        <w:spacing w:lineRule="auto" w:line="319"/>
        <w:ind w:left="567"/>
        <w:jc w:val="both"/>
        <w:rPr>
          <w:rFonts w:ascii="Times New Roman" w:hAnsi="Times New Roman" w:eastAsia="Times New Roman" w:cs="Times New Roman"/>
          <w:i/>
          <w:i/>
          <w:color w:val="000000"/>
          <w:sz w:val="24"/>
          <w:szCs w:val="24"/>
        </w:rPr>
      </w:pPr>
      <w:r>
        <w:rPr>
          <w:rFonts w:eastAsia="Times New Roman" w:cs="Times New Roman" w:ascii="Times New Roman" w:hAnsi="Times New Roman"/>
          <w:i/>
          <w:color w:val="000000"/>
          <w:sz w:val="24"/>
          <w:szCs w:val="24"/>
        </w:rPr>
        <w:t xml:space="preserve">Edital de Concorrência Pública Nº </w:t>
      </w:r>
      <w:r>
        <w:rPr>
          <w:rFonts w:eastAsia="Times New Roman" w:cs="Times New Roman" w:ascii="Times New Roman" w:hAnsi="Times New Roman"/>
          <w:i/>
          <w:color w:val="000000"/>
          <w:sz w:val="24"/>
          <w:szCs w:val="24"/>
        </w:rPr>
        <w:t>84</w:t>
      </w:r>
      <w:r>
        <w:rPr>
          <w:rFonts w:eastAsia="Times New Roman" w:cs="Times New Roman" w:ascii="Times New Roman" w:hAnsi="Times New Roman"/>
          <w:i/>
          <w:color w:val="000000"/>
          <w:sz w:val="24"/>
          <w:szCs w:val="24"/>
        </w:rPr>
        <w:t>/</w:t>
      </w:r>
      <w:r>
        <w:rPr>
          <w:rFonts w:eastAsia="Times New Roman" w:cs="Times New Roman" w:ascii="Times New Roman" w:hAnsi="Times New Roman"/>
          <w:i/>
          <w:color w:val="000000"/>
          <w:sz w:val="24"/>
          <w:szCs w:val="24"/>
        </w:rPr>
        <w:t>2026</w:t>
      </w:r>
    </w:p>
    <w:p>
      <w:pPr>
        <w:pStyle w:val="Normal"/>
        <w:keepNext w:val="true"/>
        <w:pBdr/>
        <w:spacing w:lineRule="auto" w:line="319"/>
        <w:ind w:left="567"/>
        <w:jc w:val="both"/>
        <w:rPr>
          <w:rFonts w:ascii="Times New Roman" w:hAnsi="Times New Roman" w:eastAsia="Times New Roman" w:cs="Times New Roman"/>
          <w:i/>
          <w:i/>
          <w:color w:val="000000"/>
          <w:sz w:val="24"/>
          <w:szCs w:val="24"/>
        </w:rPr>
      </w:pPr>
      <w:bookmarkStart w:id="9" w:name="_heading=h.tyjcwt"/>
      <w:bookmarkEnd w:id="9"/>
      <w:r>
        <w:rPr>
          <w:rFonts w:eastAsia="Times New Roman" w:cs="Times New Roman" w:ascii="Times New Roman" w:hAnsi="Times New Roman"/>
          <w:i/>
          <w:color w:val="000000"/>
          <w:sz w:val="24"/>
          <w:szCs w:val="24"/>
        </w:rPr>
        <w:t xml:space="preserve">Termo de Referência </w:t>
      </w:r>
    </w:p>
    <w:p>
      <w:pPr>
        <w:pStyle w:val="Normal"/>
        <w:pBdr/>
        <w:spacing w:lineRule="auto" w:line="319"/>
        <w:jc w:val="both"/>
        <w:rPr>
          <w:rFonts w:ascii="Times New Roman" w:hAnsi="Times New Roman" w:eastAsia="Times New Roman" w:cs="Times New Roman"/>
          <w:b/>
          <w:i/>
          <w:i/>
          <w:color w:val="000000"/>
          <w:sz w:val="24"/>
          <w:szCs w:val="24"/>
        </w:rPr>
      </w:pPr>
      <w:r>
        <w:rPr>
          <w:rFonts w:eastAsia="Times New Roman" w:cs="Times New Roman" w:ascii="Times New Roman" w:hAnsi="Times New Roman"/>
          <w:b/>
          <w:i/>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smallCaps/>
          <w:color w:val="000000"/>
          <w:sz w:val="24"/>
          <w:szCs w:val="24"/>
        </w:rPr>
      </w:pPr>
      <w:bookmarkStart w:id="10" w:name="_Toc194916547"/>
      <w:bookmarkStart w:id="11" w:name="_heading=h.4d34og8"/>
      <w:bookmarkEnd w:id="11"/>
      <w:r>
        <w:rPr>
          <w:rFonts w:eastAsia="Times New Roman" w:cs="Times New Roman" w:ascii="Times New Roman" w:hAnsi="Times New Roman"/>
          <w:b/>
          <w:color w:val="000000"/>
          <w:sz w:val="24"/>
          <w:szCs w:val="24"/>
        </w:rPr>
        <w:t>OBJETO</w:t>
      </w:r>
      <w:bookmarkEnd w:id="10"/>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O OBJETO do CONTRATO compreende</w:t>
      </w:r>
      <w:r>
        <w:rPr>
          <w:rFonts w:eastAsia="Times New Roman" w:cs="Times New Roman" w:ascii="Times New Roman" w:hAnsi="Times New Roman"/>
          <w:sz w:val="24"/>
          <w:szCs w:val="24"/>
        </w:rPr>
        <w:t xml:space="preserve"> </w:t>
      </w:r>
      <w:r>
        <w:rPr>
          <w:rFonts w:eastAsia="Times New Roman" w:cs="Times New Roman" w:ascii="Times New Roman" w:hAnsi="Times New Roman"/>
          <w:color w:val="000000"/>
          <w:sz w:val="24"/>
          <w:szCs w:val="24"/>
        </w:rPr>
        <w:t xml:space="preserve">a delegação, por meio de concessão onerosa, dos </w:t>
      </w:r>
      <w:r>
        <w:rPr>
          <w:rFonts w:eastAsia="Times New Roman" w:cs="Times New Roman" w:ascii="Times New Roman" w:hAnsi="Times New Roman"/>
          <w:sz w:val="24"/>
          <w:szCs w:val="24"/>
        </w:rPr>
        <w:t>serviços</w:t>
      </w:r>
      <w:r>
        <w:rPr>
          <w:rFonts w:eastAsia="Times New Roman" w:cs="Times New Roman" w:ascii="Times New Roman" w:hAnsi="Times New Roman"/>
          <w:color w:val="000000"/>
          <w:sz w:val="24"/>
          <w:szCs w:val="24"/>
        </w:rPr>
        <w:t xml:space="preserve"> funerários do Município de Caxias do Sul, conforme características e especificações técnicas estabelecidas neste CONTRATO e seus ANEXOS.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Os</w:t>
      </w:r>
      <w:r>
        <w:rPr>
          <w:rFonts w:eastAsia="Times New Roman" w:cs="Times New Roman" w:ascii="Times New Roman" w:hAnsi="Times New Roman"/>
          <w:sz w:val="24"/>
          <w:szCs w:val="24"/>
        </w:rPr>
        <w:t xml:space="preserve"> </w:t>
      </w:r>
      <w:r>
        <w:rPr>
          <w:rFonts w:eastAsia="Times New Roman" w:cs="Times New Roman" w:ascii="Times New Roman" w:hAnsi="Times New Roman"/>
          <w:color w:val="000000"/>
          <w:sz w:val="24"/>
          <w:szCs w:val="24"/>
        </w:rPr>
        <w:t>SERVIÇOS que constituem objeto deste CONTRATO são delegados sem caráter de exclusividade e, portanto, o número de delegatários dos serviços funerários no município de Caxias do Sul não afetará o equilíbrio econômico-financeiro do presente instrumento, observada a matriz de riscos disposta na Cláusula 16.</w:t>
      </w:r>
    </w:p>
    <w:p>
      <w:pPr>
        <w:pStyle w:val="Normal"/>
        <w:pBdr/>
        <w:spacing w:lineRule="auto" w:line="319"/>
        <w:ind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sz w:val="24"/>
          <w:szCs w:val="24"/>
        </w:rPr>
        <w:t xml:space="preserve">Integram o OBJETO disposto na Cláusula 4.1, </w:t>
      </w:r>
      <w:r>
        <w:rPr>
          <w:rFonts w:eastAsia="Times New Roman" w:cs="Times New Roman" w:ascii="Times New Roman" w:hAnsi="Times New Roman"/>
          <w:color w:val="000000"/>
          <w:sz w:val="24"/>
          <w:szCs w:val="24"/>
        </w:rPr>
        <w:t>a comercialização de urnas funerárias, aluguel de capelas velatórias, organização de velórios, preparação e transporte de cadáveres até o local de sepultamento ou cremação, dentro dos limites do Município de Caxias do Sul, conforme o disposto no artigo 2º da Lei Complementar n.º 670, de 16 de dezembro de 2021 e observadas as condições estabelecidas neste CONTRATO e ANEXOS.</w:t>
      </w:r>
    </w:p>
    <w:p>
      <w:pPr>
        <w:pStyle w:val="Normal"/>
        <w:pBdr/>
        <w:spacing w:lineRule="auto" w:line="319"/>
        <w:ind w:left="1224"/>
        <w:jc w:val="both"/>
        <w:rPr>
          <w:rFonts w:ascii="Times New Roman" w:hAnsi="Times New Roman" w:eastAsia="Times New Roman" w:cs="Times New Roman"/>
          <w:color w:val="000000"/>
          <w:sz w:val="24"/>
          <w:szCs w:val="24"/>
          <w:highlight w:val="yellow"/>
        </w:rPr>
      </w:pPr>
      <w:r>
        <w:rPr>
          <w:rFonts w:eastAsia="Times New Roman" w:cs="Times New Roman" w:ascii="Times New Roman" w:hAnsi="Times New Roman"/>
          <w:color w:val="000000"/>
          <w:sz w:val="24"/>
          <w:szCs w:val="24"/>
          <w:highlight w:val="yellow"/>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CONCESSIONÁRIA será responsável pela execução do OBJETO do CONTRATO, devendo arcar com os encargos respectivos e cumprir com as obrigações a ela estipuladas de maneira tempestiva e eficiente.</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color w:val="000000"/>
          <w:sz w:val="24"/>
          <w:szCs w:val="24"/>
        </w:rPr>
      </w:pPr>
      <w:bookmarkStart w:id="12" w:name="_Toc194916548"/>
      <w:bookmarkStart w:id="13" w:name="_heading=h.2s8eyo1"/>
      <w:bookmarkEnd w:id="13"/>
      <w:r>
        <w:rPr>
          <w:rFonts w:eastAsia="Times New Roman" w:cs="Times New Roman" w:ascii="Times New Roman" w:hAnsi="Times New Roman"/>
          <w:b/>
          <w:color w:val="000000"/>
          <w:sz w:val="24"/>
          <w:szCs w:val="24"/>
        </w:rPr>
        <w:t>PRAZO</w:t>
      </w:r>
      <w:bookmarkEnd w:id="12"/>
    </w:p>
    <w:p>
      <w:pPr>
        <w:pStyle w:val="Normal"/>
        <w:spacing w:lineRule="auto" w:line="319"/>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O CONTRATO terá o prazo de 10</w:t>
      </w:r>
      <w:r>
        <w:rPr>
          <w:rFonts w:eastAsia="Times New Roman" w:cs="Times New Roman" w:ascii="Times New Roman" w:hAnsi="Times New Roman"/>
          <w:sz w:val="24"/>
          <w:szCs w:val="24"/>
        </w:rPr>
        <w:t xml:space="preserve"> </w:t>
      </w:r>
      <w:r>
        <w:rPr>
          <w:rFonts w:eastAsia="Times New Roman" w:cs="Times New Roman" w:ascii="Times New Roman" w:hAnsi="Times New Roman"/>
          <w:color w:val="000000"/>
          <w:sz w:val="24"/>
          <w:szCs w:val="24"/>
        </w:rPr>
        <w:t>(dez) anos, contado(s) a partir da data de emissão do TERMO DEFINITIVO DE ACEITAÇÃO</w:t>
      </w:r>
      <w:r>
        <w:rPr>
          <w:rFonts w:eastAsia="Times New Roman" w:cs="Times New Roman" w:ascii="Times New Roman" w:hAnsi="Times New Roman"/>
          <w:sz w:val="24"/>
          <w:szCs w:val="24"/>
        </w:rPr>
        <w:t>, e prorrogáveis por igual período mediante manifestação expressa e motivada das PARTES.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DATA DA EFICÁCIA será a data da publicação da ORDEM DE INÍCIO, no DOE, e fica condicionada aos termos estabelecidos no ANEXO I DO EDITAL, ITEM 13, DO TERMO DE REFERÊNCIA.</w:t>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O TERMO DEFINITIVO DE ACEITAÇÃO será emitido por comissão de servidores especificamente designados pelo PODER CONCEDENTE, e fica </w:t>
      </w:r>
      <w:r>
        <w:rPr>
          <w:rFonts w:eastAsia="Times New Roman" w:cs="Times New Roman" w:ascii="Times New Roman" w:hAnsi="Times New Roman"/>
          <w:color w:val="000000"/>
          <w:sz w:val="24"/>
          <w:szCs w:val="24"/>
        </w:rPr>
        <w:t>condicionado aos termos estabelecidos no ANEXO I DO EDITAL, ITEM 13, DO TERMO DE REFERÊNCIA.</w:t>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 ORDEM DE INÍCIO autoriza a CONCESSIONÁRIA à execução das intervenções e o TERMO DEFINITIVO DE ACEITAÇÃO autoriza a CONCESSIONÁRIA à execução dos serviços funerários, isto é, a operação da concessão propriamente dita.</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 prazo da CONCESSÃO poderá ser alterado apenas para fins de recomposição do equilíbrio econômico-financeiro do CONTRATO, na forma da Cláusula 19, quando a alteração se mostrar mais vantajosa ao interesse público, sendo promovida mediante justificativa do PODER CONCEDENTE.</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Eventual extensão do prazo da CONCESSÃO como medida para a recomposição do equilíbrio econômico-financeiro do CONTRATO não será considerada prorrogação.</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CONCESSÃO será assumida pela CONCESSIONÁRIA na DATA DE EFICÁCIA, momento em que deverá iniciar a execução de intervenções. E após o TERMO DE ACEITAÇÃO DEFINITIVA emitido pelo Município, deverá iniciar a execução dos serviços, conforme disposto neste CONTRATO e em seus ANEXOS.</w:t>
      </w:r>
    </w:p>
    <w:p>
      <w:pPr>
        <w:pStyle w:val="ListParagraph"/>
        <w:pBdr/>
        <w:spacing w:lineRule="auto" w:line="319"/>
        <w:ind w:left="1572"/>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O PODER CONCEDENTE deverá providenciar a emissão da ORDEM DE INÍCIO e sua publicação no DOE em até 5 (cinco) dias úteis após a demonstração do cumprimento das condições estabelecidas na Cláusula 5.1.1, acima.</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execução dos SERVIÇOS deverá observar os prazos, condições e características técnicas estabelecidas no CONTRATO e em seus ANEXOS.</w:t>
      </w:r>
    </w:p>
    <w:p>
      <w:pPr>
        <w:pStyle w:val="ListParagraph"/>
        <w:pBdr/>
        <w:spacing w:lineRule="auto" w:line="319"/>
        <w:ind w:left="1572"/>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Heading1"/>
        <w:numPr>
          <w:ilvl w:val="0"/>
          <w:numId w:val="9"/>
        </w:numPr>
        <w:spacing w:lineRule="auto" w:line="319" w:before="0" w:after="0"/>
        <w:jc w:val="both"/>
        <w:rPr>
          <w:rFonts w:ascii="Times New Roman" w:hAnsi="Times New Roman" w:eastAsia="Times New Roman" w:cs="Times New Roman"/>
          <w:color w:val="000000"/>
          <w:sz w:val="24"/>
          <w:szCs w:val="24"/>
        </w:rPr>
      </w:pPr>
      <w:bookmarkStart w:id="14" w:name="_Toc194916549"/>
      <w:bookmarkStart w:id="15" w:name="_heading=h.17dp8vu"/>
      <w:bookmarkEnd w:id="15"/>
      <w:r>
        <w:rPr>
          <w:rFonts w:eastAsia="Times New Roman" w:cs="Times New Roman" w:ascii="Times New Roman" w:hAnsi="Times New Roman"/>
          <w:b/>
          <w:color w:val="000000"/>
          <w:sz w:val="24"/>
          <w:szCs w:val="24"/>
        </w:rPr>
        <w:t>VALOR DO CONTRATO</w:t>
      </w:r>
      <w:bookmarkEnd w:id="14"/>
    </w:p>
    <w:p>
      <w:pPr>
        <w:pStyle w:val="Normal"/>
        <w:spacing w:lineRule="auto" w:line="319"/>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sdt>
        <w:sdtPr>
          <w:tag w:val="goog_rdk_0"/>
          <w:id w:val="300357262"/>
        </w:sdtPr>
        <w:sdtContent>
          <w:r>
            <w:rPr/>
          </w:r>
          <w:r>
            <w:rPr/>
          </w:r>
        </w:sdtContent>
      </w:sdt>
      <w:sdt>
        <w:sdtPr>
          <w:tag w:val="goog_rdk_1"/>
          <w:id w:val="-1637866126"/>
        </w:sdtPr>
        <w:sdtContent>
          <w:r>
            <w:rPr/>
          </w:r>
          <w:r>
            <w:rPr/>
          </w:r>
        </w:sdtContent>
      </w:sdt>
      <w:sdt>
        <w:sdtPr>
          <w:tag w:val="goog_rdk_2"/>
          <w:id w:val="-709720437"/>
        </w:sdtPr>
        <w:sdtContent>
          <w:r>
            <w:rPr/>
          </w:r>
          <w:r>
            <w:rPr/>
          </w:r>
        </w:sdtContent>
      </w:sdt>
      <w:sdt>
        <w:sdtPr>
          <w:tag w:val="goog_rdk_3"/>
          <w:id w:val="-583063781"/>
        </w:sdtPr>
        <w:sdtContent>
          <w:r>
            <w:rPr/>
          </w:r>
          <w:r>
            <w:rPr/>
          </w:r>
        </w:sdtContent>
      </w:sdt>
      <w:r>
        <w:rPr>
          <w:rFonts w:eastAsia="Times New Roman" w:cs="Times New Roman" w:ascii="Times New Roman" w:hAnsi="Times New Roman"/>
          <w:color w:val="000000"/>
          <w:sz w:val="24"/>
          <w:szCs w:val="24"/>
        </w:rPr>
        <w:t>O VALOR DO CONTRATO dá-se pelo somatório dos investimentos de capital e dos custos e despesas de operação estimados necessários para a execução dos SERVIÇOS durante todo o prazo da CONCESSÃO, correspondente a R$ 31.799.107,20 (trinta e um milhões, setecentos e noventa e nove mil, cento e sete reais e vinte centavos).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 valor contemplado na Cláusula 6.1, acima, tem efeito meramente indicativo, não podendo ser utilizado por nenhuma das PARTES para pleitear a recomposição do equilíbrio econômico-financeiro do CONTRATO.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bookmarkStart w:id="16" w:name="_heading=h.26in1rg"/>
      <w:bookmarkStart w:id="17" w:name="_heading=h.26in1rg"/>
      <w:bookmarkEnd w:id="17"/>
    </w:p>
    <w:p>
      <w:pPr>
        <w:pStyle w:val="Heading1"/>
        <w:numPr>
          <w:ilvl w:val="0"/>
          <w:numId w:val="9"/>
        </w:numPr>
        <w:spacing w:lineRule="auto" w:line="319" w:before="0" w:after="0"/>
        <w:jc w:val="both"/>
        <w:rPr>
          <w:rFonts w:ascii="Times New Roman" w:hAnsi="Times New Roman" w:eastAsia="Times New Roman" w:cs="Times New Roman"/>
          <w:b/>
          <w:color w:val="000000"/>
          <w:sz w:val="24"/>
          <w:szCs w:val="24"/>
        </w:rPr>
      </w:pPr>
      <w:bookmarkStart w:id="18" w:name="_Toc194916550"/>
      <w:bookmarkStart w:id="19" w:name="_heading=h.35nkun2"/>
      <w:bookmarkEnd w:id="19"/>
      <w:r>
        <w:rPr>
          <w:rFonts w:eastAsia="Times New Roman" w:cs="Times New Roman" w:ascii="Times New Roman" w:hAnsi="Times New Roman"/>
          <w:b/>
          <w:color w:val="000000"/>
          <w:sz w:val="24"/>
          <w:szCs w:val="24"/>
        </w:rPr>
        <w:t>LICENÇAS E AUTORIZAÇÕES</w:t>
      </w:r>
      <w:bookmarkEnd w:id="18"/>
    </w:p>
    <w:p>
      <w:pPr>
        <w:pStyle w:val="Normal"/>
        <w:spacing w:lineRule="auto" w:line="319"/>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deverá elaborar a documentação necessária e submeter às autoridades competentes todos os pedidos de obtenção de licenças, autorizações e alvarás necessários à plena execução do OBJETO da CONCESSÃO, ao desenvolvimento dos SERVIÇOS e à execução de atividades relacionadas, além de acompanhar todo o processamento do pedido até a sua regular aprovação, devendo, para tanto, cumprir com todas as providências exigidas, nos termos da legislação vigente, bem como arcar com todas as despesas e custos eventualmente envolvidos.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 xml:space="preserve">O PODER CONCEDENTE deverá envidar todos os esforços para analisar e expedir licenças, autorizações e alvarás que lhe forem solicitados pela CONCESSIONÁRIA no prazo máximo de 30 (trinta) dias contados da data de protocolo. </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O PODER CONCEDENTE cooperará com a CONCESSIONÁRIA com vistas à coordenação e integração das análises e decisões que competem às instâncias municipais no processo de aprovações urbanísticas, licenciamento ambiental, entre outros.</w:t>
      </w:r>
    </w:p>
    <w:p>
      <w:pPr>
        <w:pStyle w:val="Normal"/>
        <w:pBdr/>
        <w:spacing w:lineRule="auto" w:line="319"/>
        <w:ind w:left="128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2"/>
          <w:numId w:val="9"/>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No âmbito de análise, o Poder Público poderá criar sistemática de análise específica para licenciamentos ambientais e urbanísticos ligados à CONCESSÃO.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Na hipótese de a CONCESSIONÁRIA deixar de cumprir os prazos estabelecidos no ANEXO V do Termo de Referência, em razão de atrasos na obtenção de licenças e autorizações, comprovados em processo administrativo, por fatos atribuíveis exclusivamente ao PODER CONCEDENTE e/ou a demais entes da Administração Pública municipal, deverá ser concedido prazo adicional, proporcional ao atraso motivado pelo PODER CONCEDENTE.</w:t>
      </w:r>
      <w:bookmarkStart w:id="20" w:name="_heading=h.1ksv4uv"/>
    </w:p>
    <w:p>
      <w:pPr>
        <w:pStyle w:val="Heading1"/>
        <w:spacing w:lineRule="auto" w:line="319" w:before="0" w:after="0"/>
        <w:ind w:left="420"/>
        <w:jc w:val="both"/>
        <w:rPr>
          <w:rFonts w:ascii="Times New Roman" w:hAnsi="Times New Roman" w:eastAsia="Times New Roman" w:cs="Times New Roman"/>
          <w:color w:val="000000"/>
          <w:sz w:val="24"/>
          <w:szCs w:val="24"/>
        </w:rPr>
      </w:pPr>
      <w:bookmarkEnd w:id="20"/>
      <w:sdt>
        <w:sdtPr>
          <w:tag w:val="goog_rdk_10"/>
          <w:id w:val="-1867896407"/>
        </w:sdtPr>
        <w:sdtContent>
          <w:r>
            <w:rPr/>
          </w:r>
          <w:r>
            <w:rPr/>
          </w:r>
        </w:sdtContent>
      </w:sdt>
      <w:sdt>
        <w:sdtPr>
          <w:tag w:val="goog_rdk_11"/>
          <w:id w:val="-2074802111"/>
          <w:showingPlcHdr/>
        </w:sdtPr>
        <w:sdtContent>
          <w:r>
            <w:rPr/>
          </w:r>
          <w:r>
            <w:rPr/>
            <w:t xml:space="preserve">     </w:t>
          </w:r>
        </w:sdtContent>
      </w:sdt>
    </w:p>
    <w:p>
      <w:pPr>
        <w:pStyle w:val="Heading1"/>
        <w:numPr>
          <w:ilvl w:val="0"/>
          <w:numId w:val="9"/>
        </w:numPr>
        <w:spacing w:lineRule="auto" w:line="319" w:before="0" w:after="0"/>
        <w:jc w:val="both"/>
        <w:rPr>
          <w:rFonts w:ascii="Times New Roman" w:hAnsi="Times New Roman" w:eastAsia="Times New Roman" w:cs="Times New Roman"/>
          <w:sz w:val="24"/>
          <w:szCs w:val="24"/>
        </w:rPr>
      </w:pPr>
      <w:bookmarkStart w:id="21" w:name="_Toc194916551"/>
      <w:bookmarkStart w:id="22" w:name="_heading=h.44sinio"/>
      <w:bookmarkEnd w:id="22"/>
      <w:r>
        <w:rPr>
          <w:rFonts w:eastAsia="Times New Roman" w:cs="Times New Roman" w:ascii="Times New Roman" w:hAnsi="Times New Roman"/>
          <w:b/>
          <w:color w:val="000000"/>
          <w:sz w:val="24"/>
          <w:szCs w:val="24"/>
        </w:rPr>
        <w:t>REMUNERAÇÃO DA CONCESSIONÁRIA</w:t>
      </w:r>
      <w:bookmarkEnd w:id="21"/>
      <w:r>
        <w:rPr>
          <w:rFonts w:eastAsia="Times New Roman" w:cs="Times New Roman" w:ascii="Times New Roman" w:hAnsi="Times New Roman"/>
          <w:b/>
          <w:color w:val="000000"/>
          <w:sz w:val="24"/>
          <w:szCs w:val="24"/>
        </w:rPr>
        <w:t xml:space="preserve">  </w:t>
      </w:r>
    </w:p>
    <w:p>
      <w:pPr>
        <w:pStyle w:val="Normal"/>
        <w:spacing w:lineRule="auto" w:line="319"/>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As receitas auferidas pela CONCESSIONÁRIA decorrerão da exploração das FONTES DE RECEITA provenientes, direta ou indiretamente, da exploração da CONCESSÃO.</w:t>
      </w:r>
    </w:p>
    <w:p>
      <w:pPr>
        <w:pStyle w:val="Normal"/>
        <w:pBdr/>
        <w:spacing w:lineRule="auto" w:line="319"/>
        <w:ind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pPr>
      <w:bookmarkStart w:id="23" w:name="_heading=h.2jxsxqh"/>
      <w:bookmarkEnd w:id="23"/>
      <w:r>
        <w:rPr>
          <w:rFonts w:eastAsia="Times New Roman" w:cs="Times New Roman" w:ascii="Times New Roman" w:hAnsi="Times New Roman"/>
          <w:sz w:val="24"/>
          <w:szCs w:val="24"/>
        </w:rPr>
        <w:t>Nenhum valor será devido pelo PODER CONCEDENTE à CONCESSIONÁRIA, a título de remuneração, em virtude da execução do OBJETO da CONCESSÃO.</w:t>
      </w:r>
      <w:r>
        <w:rPr/>
        <w:t xml:space="preserve"> </w:t>
      </w:r>
    </w:p>
    <w:p>
      <w:pPr>
        <w:pStyle w:val="Normal"/>
        <w:spacing w:lineRule="auto" w:line="319"/>
        <w:rPr/>
      </w:pPr>
      <w:r>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As FONTES DE RECEITA deverão assegurar à CONCESSIONÁRIA condições de fazer frente, dentre outros:</w:t>
      </w:r>
    </w:p>
    <w:p>
      <w:pPr>
        <w:pStyle w:val="Normal"/>
        <w:pBdr/>
        <w:spacing w:lineRule="auto" w:line="319"/>
        <w:jc w:val="both"/>
        <w:rPr>
          <w:color w:val="000000"/>
        </w:rPr>
      </w:pPr>
      <w:r>
        <w:rPr>
          <w:color w:val="000000"/>
        </w:rPr>
      </w:r>
    </w:p>
    <w:p>
      <w:pPr>
        <w:pStyle w:val="Normal"/>
        <w:numPr>
          <w:ilvl w:val="3"/>
          <w:numId w:val="9"/>
        </w:numPr>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ao cumprimento das obrigações do presente CONTRATO e seus ANEXOS, inclusive o pagamento das OUTORGAS devidas pela CONCESSIONÁRIA;</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3"/>
          <w:numId w:val="9"/>
        </w:numPr>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aos custos de amortização e eventuais juros de FINANCIAMENTO(s) relativos à exploração da CONCESSÃO;</w:t>
      </w:r>
    </w:p>
    <w:p>
      <w:pPr>
        <w:pStyle w:val="Normal"/>
        <w:pBdr/>
        <w:spacing w:lineRule="auto" w:line="319"/>
        <w:ind w:left="1572"/>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3"/>
          <w:numId w:val="9"/>
        </w:numPr>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aos tributos devidos pela CONCESSIONÁRIA; e</w:t>
      </w:r>
    </w:p>
    <w:p>
      <w:pPr>
        <w:pStyle w:val="Normal"/>
        <w:pBdr/>
        <w:spacing w:lineRule="auto" w:line="319"/>
        <w:ind w:left="1572"/>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3"/>
          <w:numId w:val="9"/>
        </w:numPr>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à remuneração do capital investido pelos sócios da CONCESSIONÁRIA.</w:t>
      </w:r>
    </w:p>
    <w:p>
      <w:pPr>
        <w:pStyle w:val="Normal"/>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O início da exploração e operação, pela CONCESSIONÁRIA ficará condicionado à obtenção de autorizações, licenças e alvarás necessários para tanto.</w:t>
      </w:r>
    </w:p>
    <w:p>
      <w:pPr>
        <w:pStyle w:val="Normal"/>
        <w:pBdr/>
        <w:spacing w:lineRule="auto" w:line="319"/>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pBdr/>
        <w:spacing w:lineRule="auto" w:line="319"/>
        <w:ind w:left="1288"/>
        <w:jc w:val="both"/>
        <w:rPr>
          <w:rFonts w:ascii="Times New Roman" w:hAnsi="Times New Roman" w:eastAsia="Times New Roman" w:cs="Times New Roman"/>
          <w:sz w:val="24"/>
          <w:szCs w:val="24"/>
        </w:rPr>
      </w:pPr>
      <w:bookmarkStart w:id="24" w:name="_heading=h.z337ya"/>
      <w:bookmarkEnd w:id="24"/>
      <w:r>
        <w:rPr>
          <w:rFonts w:eastAsia="Times New Roman" w:cs="Times New Roman" w:ascii="Times New Roman" w:hAnsi="Times New Roman"/>
          <w:sz w:val="24"/>
          <w:szCs w:val="24"/>
        </w:rPr>
        <w:t xml:space="preserve">   </w:t>
      </w:r>
    </w:p>
    <w:p>
      <w:pPr>
        <w:pStyle w:val="Heading1"/>
        <w:numPr>
          <w:ilvl w:val="0"/>
          <w:numId w:val="9"/>
        </w:numPr>
        <w:pBdr/>
        <w:spacing w:lineRule="auto" w:line="319" w:before="0" w:after="0"/>
        <w:jc w:val="both"/>
        <w:rPr>
          <w:rFonts w:ascii="Times New Roman" w:hAnsi="Times New Roman" w:eastAsia="Times New Roman" w:cs="Times New Roman"/>
          <w:b/>
          <w:color w:val="FF0000"/>
          <w:sz w:val="24"/>
          <w:szCs w:val="24"/>
        </w:rPr>
      </w:pPr>
      <w:bookmarkStart w:id="25" w:name="_Toc194916552"/>
      <w:r>
        <w:rPr>
          <w:rFonts w:eastAsia="Times New Roman" w:cs="Times New Roman" w:ascii="Times New Roman" w:hAnsi="Times New Roman"/>
          <w:b/>
          <w:color w:val="000000"/>
          <w:sz w:val="24"/>
          <w:szCs w:val="24"/>
        </w:rPr>
        <w:t>OUTORGA</w:t>
      </w:r>
      <w:bookmarkEnd w:id="25"/>
    </w:p>
    <w:p>
      <w:pPr>
        <w:pStyle w:val="Normal"/>
        <w:rPr/>
      </w:pPr>
      <w:r>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Em razão da exploração da CONCESSÃO, a CONCESSIONÁRIA pagará anualmente ao PODER CONCEDENTE as parcelas da OUTORGA FIXA e a contraprestação gratuita dos serviços funerários, para os casos previstos na Lei.</w:t>
      </w:r>
    </w:p>
    <w:p>
      <w:pPr>
        <w:pStyle w:val="Normal"/>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sdt>
        <w:sdtPr>
          <w:tag w:val="goog_rdk_14"/>
          <w:id w:val="-711274866"/>
        </w:sdtPr>
        <w:sdtContent>
          <w:r>
            <w:rPr/>
          </w:r>
          <w:r>
            <w:rPr/>
          </w:r>
        </w:sdtContent>
      </w:sdt>
      <w:sdt>
        <w:sdtPr>
          <w:tag w:val="goog_rdk_15"/>
          <w:id w:val="2048262700"/>
        </w:sdtPr>
        <w:sdtContent>
          <w:r>
            <w:rPr/>
          </w:r>
          <w:r>
            <w:rPr/>
          </w:r>
        </w:sdtContent>
      </w:sdt>
      <w:sdt>
        <w:sdtPr>
          <w:tag w:val="goog_rdk_16"/>
          <w:id w:val="-1613733687"/>
        </w:sdtPr>
        <w:sdtContent>
          <w:r>
            <w:rPr/>
          </w:r>
          <w:r>
            <w:rPr/>
          </w:r>
        </w:sdtContent>
      </w:sdt>
      <w:r>
        <w:rPr>
          <w:rFonts w:eastAsia="Times New Roman" w:cs="Times New Roman" w:ascii="Times New Roman" w:hAnsi="Times New Roman"/>
          <w:color w:val="000000"/>
          <w:sz w:val="24"/>
          <w:szCs w:val="24"/>
        </w:rPr>
        <w:t>A CONCESSIONÁRIA pagará ao PODER CONCEDENTE, a título de OUTORGA FIXA</w:t>
      </w:r>
      <w:r>
        <w:rPr>
          <w:rFonts w:eastAsia="Times New Roman" w:cs="Times New Roman" w:ascii="Times New Roman" w:hAnsi="Times New Roman"/>
          <w:color w:val="000000"/>
          <w:sz w:val="24"/>
          <w:szCs w:val="24"/>
        </w:rPr>
        <w:t xml:space="preserve"> ANUAL, o valor de R$ _________ ( _____ reais e _____ centavos), durante o prazo da concessão,</w:t>
      </w:r>
      <w:r>
        <w:rPr/>
        <w:t xml:space="preserve"> e representa </w:t>
      </w:r>
      <w:r>
        <w:rPr>
          <w:rFonts w:eastAsia="Times New Roman" w:cs="Times New Roman" w:ascii="Times New Roman" w:hAnsi="Times New Roman"/>
          <w:color w:val="000000"/>
          <w:sz w:val="24"/>
          <w:szCs w:val="24"/>
        </w:rPr>
        <w:t>um décimo da respectiva proposta comercial.</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O valor a ser pago pela outorga fixa deverá ser atualizado, anualmente, pelo Índice Nacional de Preços ao Consumidor Amplo (IPCA), ou outro índice que vier a sucedê-lo.</w:t>
      </w:r>
    </w:p>
    <w:p>
      <w:pPr>
        <w:pStyle w:val="Normal"/>
        <w:pBdr/>
        <w:spacing w:lineRule="auto" w:line="319"/>
        <w:ind w:left="1288"/>
        <w:jc w:val="both"/>
        <w:rPr>
          <w:rFonts w:ascii="Times New Roman" w:hAnsi="Times New Roman" w:eastAsia="Times New Roman" w:cs="Times New Roman"/>
          <w:color w:val="000000"/>
          <w:sz w:val="24"/>
          <w:szCs w:val="24"/>
        </w:rPr>
      </w:pPr>
      <w:sdt>
        <w:sdtPr>
          <w:tag w:val="goog_rdk_17"/>
          <w:id w:val="1025287348"/>
          <w:showingPlcHdr/>
        </w:sdtPr>
        <w:sdtContent>
          <w:r>
            <w:rPr/>
          </w:r>
          <w:r>
            <w:rPr/>
            <w:t xml:space="preserve">     </w:t>
          </w:r>
        </w:sdtContent>
      </w:sdt>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Para a fiscalização da </w:t>
      </w:r>
      <w:r>
        <w:rPr>
          <w:rFonts w:eastAsia="Times New Roman" w:cs="Times New Roman" w:ascii="Times New Roman" w:hAnsi="Times New Roman"/>
          <w:sz w:val="24"/>
          <w:szCs w:val="24"/>
        </w:rPr>
        <w:t xml:space="preserve">contraprestação gratuita dos serviços funerários, para os casos previstos na Lei, </w:t>
      </w:r>
      <w:r>
        <w:rPr>
          <w:rFonts w:eastAsia="Times New Roman" w:cs="Times New Roman" w:ascii="Times New Roman" w:hAnsi="Times New Roman"/>
          <w:color w:val="000000"/>
          <w:sz w:val="24"/>
          <w:szCs w:val="24"/>
        </w:rPr>
        <w:t xml:space="preserve">a CONCESSIONÁRIA deverá apresentar ao PODER CONCEDENTE, </w:t>
      </w:r>
      <w:r>
        <w:rPr/>
        <w:t>até</w:t>
      </w:r>
      <w:r>
        <w:rPr>
          <w:rFonts w:eastAsia="Times New Roman" w:cs="Times New Roman" w:ascii="Times New Roman" w:hAnsi="Times New Roman"/>
          <w:color w:val="000000"/>
          <w:sz w:val="24"/>
          <w:szCs w:val="24"/>
        </w:rPr>
        <w:t xml:space="preserve"> o dia 10 (dez) do mês subsequente a relação de todos os sepultamentos realizados no mês anterior, de acordo com o item 15.2.19 do Termo de Referência. </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color w:val="000000"/>
          <w:sz w:val="24"/>
          <w:szCs w:val="24"/>
        </w:rPr>
      </w:pPr>
      <w:bookmarkStart w:id="26" w:name="_Toc194916553"/>
      <w:r>
        <w:rPr>
          <w:rFonts w:eastAsia="Times New Roman" w:cs="Times New Roman" w:ascii="Times New Roman" w:hAnsi="Times New Roman"/>
          <w:b/>
          <w:color w:val="000000"/>
          <w:sz w:val="24"/>
          <w:szCs w:val="24"/>
        </w:rPr>
        <w:t>OBRIGAÇÕES E RESPONSABILIDADES DA CONCESSIONÁRIA NA EXECUÇÃO DOS SERVIÇOS</w:t>
      </w:r>
      <w:bookmarkEnd w:id="26"/>
    </w:p>
    <w:p>
      <w:pPr>
        <w:pStyle w:val="Normal"/>
        <w:spacing w:lineRule="auto" w:line="319"/>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Durante todo o prazo da CONCESSÃO, a CONCESSIONÁRIA é responsável pela execução dos SERVIÇOS, observando as diretrizes, especificações e características técnicas previstas neste CONTRATO e nos ANEXOS, de forma a garantir a melhor qualidade aos usuários. </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CONCESSIONÁRIA deverá cumprir as obrigações previstas neste CONTRATO e nos ANEXOS, incluindo, mas não se limitando a:</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Responder pela adequação e qualidade dos SERVIÇOS, assim como pelo cumprimento das obrigações contratuais, regulamentares e legais.</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Responder perante o PODER CONCEDENTE e terceiros, nos termos admitidos na legislação aplicável, inclusive pelos serviços subcontratados;</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Ressarcir o PODER CONDENTE de todos os desembolsos decorrentes de determinações judiciais para satisfação de obrigações originalmente imputáveis à CONCESSIONÁRIA, inclusive reclamações trabalhistas propostas por empregados ou terceiros vinculados à CONCESSIONÁRIA;</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Informar o PODER CONCEDENTE, imediatamente, quando citada ou intimada de qualquer ação judicial ou procedimento administrativo, que possa resultar em responsabilização do PODER CONCEDENTE, inclusive dos termos e prazos processuais, bem como envidar os melhores esforços na defesa dos interesses comuns, praticando todos os atos processuais cabíveis com esse objetivo;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Disponibilizar mão de obra em quantidade necessária e condizente com a adequada prestação dos SERVIÇOS, regularmente treinada e capacitada para exercer as atividades de sua responsabilidade;</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Observar, nas contratações de pessoal, a legislação trabalhista vigente, notadamente as leis específicas de encargos trabalhistas, previdenciários, tributários, fiscais, bem como os acordos, convenções e dissídios coletivos de cada categoria profissional;</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Cumprir rigorosamente as normas de Segurança e Medicina do Trabalho, de acordo com a legislação vigente, e visando a prevenção de acidentes de trabalho;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Fornecer, orientar, treinar e fiscalizar o uso pelo seu pessoal dos Equipamentos de Proteção Individual e Coletivo – EPIs e EPCs necessários para o desempenho de suas atividades, bem como apresentar ao PODER CONCEDENTE, sempre que solicitado, os comprovantes de entrega desses equipamentos ao seu pessoal;</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Assegurar o livre acesso do PODER CONCEDENTE ou a pessoa por ele autorizada, a qualquer dia e hora, às dependências usadas pela CONCESSIONÁRIA, para fiscalização do integral cumprimento das normas referentes à segurança do trabalho;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Manter todos os equipamentos e utensílios necessários à execução dos SERVIÇOS em perfeitas condições de uso;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Garantir a qualidade e a adequação técnica durante todo o prazo da CONCESSÃO, promovendo as substituições e os reinvestimentos que se fizerem necessários;</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 xml:space="preserve">Responsabilizar-se pela </w:t>
      </w:r>
      <w:sdt>
        <w:sdtPr>
          <w:tag w:val="goog_rdk_27"/>
          <w:id w:val="-1182888311"/>
        </w:sdtPr>
        <w:sdtContent>
          <w:r>
            <w:rPr>
              <w:rFonts w:eastAsia="Times New Roman" w:cs="Times New Roman" w:ascii="Times New Roman" w:hAnsi="Times New Roman"/>
              <w:color w:val="000000"/>
              <w:sz w:val="24"/>
              <w:szCs w:val="24"/>
            </w:rPr>
          </w:r>
          <w:r>
            <w:rPr>
              <w:rFonts w:eastAsia="Times New Roman" w:cs="Times New Roman" w:ascii="Times New Roman" w:hAnsi="Times New Roman"/>
              <w:color w:val="000000"/>
              <w:sz w:val="24"/>
              <w:szCs w:val="24"/>
            </w:rPr>
          </w:r>
        </w:sdtContent>
      </w:sdt>
      <w:sdt>
        <w:sdtPr>
          <w:tag w:val="goog_rdk_28"/>
          <w:id w:val="1859617087"/>
        </w:sdtPr>
        <w:sdtContent>
          <w:r>
            <w:rPr>
              <w:rFonts w:eastAsia="Times New Roman" w:cs="Times New Roman" w:ascii="Times New Roman" w:hAnsi="Times New Roman"/>
              <w:color w:val="000000"/>
              <w:sz w:val="24"/>
              <w:szCs w:val="24"/>
            </w:rPr>
          </w:r>
          <w:r>
            <w:rPr>
              <w:rFonts w:eastAsia="Times New Roman" w:cs="Times New Roman" w:ascii="Times New Roman" w:hAnsi="Times New Roman"/>
              <w:color w:val="000000"/>
              <w:sz w:val="24"/>
              <w:szCs w:val="24"/>
            </w:rPr>
          </w:r>
        </w:sdtContent>
      </w:sdt>
      <w:r>
        <w:rPr>
          <w:rFonts w:eastAsia="Times New Roman" w:cs="Times New Roman" w:ascii="Times New Roman" w:hAnsi="Times New Roman"/>
          <w:color w:val="000000"/>
          <w:sz w:val="24"/>
          <w:szCs w:val="24"/>
        </w:rPr>
        <w:t>destinação, triagem, transporte, armazenagem, descarte e/ou aproveitamento da sucata e dos resíduos eventualmente originados durante o período da CONCESSÃO, observadas as diretrizes das legislações federal, estadual e municipal aplicáveis e as exigências quanto aos licenciamentos e às autorizações necessárias para essa finalidade, inclusive as licenças ambientais, se aplicáveis;</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Recuperar, prevenir, corrigir e gerenciar eventual passivo ambiental relacionado à CONCESSÃO que seja gerado posteriormente à DATA DE EFICÁCIA.</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Reparar, corrigir ou substituir, às suas expensas, nos prazos estabelecidos no CONTRATO e ANEXOS ou em prazo razoável fixado pelo PODER CONCEDENTE, as falhas ou defeitos verificados na prestação dos SERVIÇOS;</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Contratar os seguros nos termos deste CONTRATO, responsabilizando-se, em qualquer caso, pelos danos causados por si, seus representantes, prepostos ou subcontratados, na execução do OBJETO da CONCESSÃO, perante o PODER CONCEDENTE ou terceiros;</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Cumprir e observar todas as normas e exigências legais e ambientais, e obter, quando aplicável, todas as licenças, permissões e autorizações exigidas para a plena execução do OBJETO da CONCESSÃO, devendo se responsabilizar por todas as providências necessárias para a sua obtenção junto aos órgãos competentes nos termos da legislação vigente e arcando com todas as despesas e os custos envolvidos;</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A CONCESSIONÁRIA reconhece que através desta CONCESSÃO poderá ter acesso a determinados Dados Pessoais, os “Dados”, e se obriga a cumprir com a legislação de dados brasileira (Lei n.º 13.709/2018 – LGPD), devendo tratar os Dados a que obtiver acesso, nos termos da LGPD, unicamente para o atingimento da finalidade e objeto deste CONTRATO.</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Heading1"/>
        <w:numPr>
          <w:ilvl w:val="0"/>
          <w:numId w:val="9"/>
        </w:numPr>
        <w:spacing w:lineRule="auto" w:line="319" w:before="0" w:after="0"/>
        <w:jc w:val="both"/>
        <w:rPr>
          <w:rFonts w:ascii="Times New Roman" w:hAnsi="Times New Roman" w:eastAsia="Times New Roman" w:cs="Times New Roman"/>
          <w:sz w:val="24"/>
          <w:szCs w:val="24"/>
        </w:rPr>
      </w:pPr>
      <w:bookmarkStart w:id="27" w:name="_Toc194916554"/>
      <w:bookmarkStart w:id="28" w:name="_heading=h.4i7ojhp"/>
      <w:bookmarkEnd w:id="28"/>
      <w:r>
        <w:rPr>
          <w:rFonts w:eastAsia="Times New Roman" w:cs="Times New Roman" w:ascii="Times New Roman" w:hAnsi="Times New Roman"/>
          <w:b/>
          <w:color w:val="000000"/>
          <w:sz w:val="24"/>
          <w:szCs w:val="24"/>
        </w:rPr>
        <w:t>OBRIGAÇÕES DO PODER CONCEDENTE</w:t>
      </w:r>
      <w:bookmarkEnd w:id="27"/>
    </w:p>
    <w:p>
      <w:pPr>
        <w:pStyle w:val="Normal"/>
        <w:spacing w:lineRule="auto" w:line="319"/>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sdt>
        <w:sdtPr>
          <w:tag w:val="goog_rdk_31"/>
          <w:id w:val="1138073494"/>
        </w:sdtPr>
        <w:sdtContent>
          <w:r>
            <w:rPr/>
          </w:r>
          <w:r>
            <w:rPr/>
          </w:r>
        </w:sdtContent>
      </w:sdt>
      <w:sdt>
        <w:sdtPr>
          <w:tag w:val="goog_rdk_32"/>
          <w:id w:val="-1331818851"/>
        </w:sdtPr>
        <w:sdtContent>
          <w:r>
            <w:rPr/>
          </w:r>
          <w:r>
            <w:rPr/>
          </w:r>
        </w:sdtContent>
      </w:sdt>
      <w:r>
        <w:rPr>
          <w:rFonts w:eastAsia="Times New Roman" w:cs="Times New Roman" w:ascii="Times New Roman" w:hAnsi="Times New Roman"/>
          <w:color w:val="000000"/>
          <w:sz w:val="24"/>
          <w:szCs w:val="24"/>
        </w:rPr>
        <w:t>São encargos do PODER CONCEDENTE:</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0"/>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prestar as informações e fazer os esclarecimentos solicitados pela CONCESSIONÁRIA;</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0"/>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fiscalizar a execução dos SERVIÇOS que constituem o OBJETO deste CONTRATO e aplicar as penalidades legais e contratuais;</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0"/>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advertir a CONCESSIONÁRIA e, quando for o caso, aplicar as sanções administrativas cabíveis, sempre que observar alguma irregularidade;</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0"/>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fundamentar devidamente suas decisões, aprovações, pedidos ou demais atos praticados ao abrigo deste CONTRATO, em face da CONCESSIONÁRIA, e observar os prazos correspondentes; </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0"/>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intervir na prestação dos SERVIÇOS, quando houver riscos de descontinuidade;</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0"/>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declarar a extinção da CONCESSÃO, nos casos previstos neste CONTRATO e na legislação;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0"/>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colaborar, dentro da sua esfera de competências e observados os termos da legislação pertinente, com a obtenção das licenças e autorizações eventualmente necessárias para a exploração da CONCESSÃO, junto aos demais órgãos e entidades da Administração Pública e seus delegatários, inclusive com a participação em reuniões técnicas e envio de manifestações necessárias, sem exclusão, porém, das atribuições e responsabilidades da CONCESSIONÁRIA;</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0"/>
        </w:numPr>
        <w:pBdr/>
        <w:spacing w:lineRule="auto" w:line="319"/>
        <w:ind w:hanging="0" w:left="567"/>
        <w:jc w:val="both"/>
        <w:rPr>
          <w:rFonts w:ascii="Times New Roman" w:hAnsi="Times New Roman" w:eastAsia="Times New Roman" w:cs="Times New Roman"/>
          <w:color w:val="000000"/>
          <w:sz w:val="24"/>
          <w:szCs w:val="24"/>
        </w:rPr>
      </w:pPr>
      <w:sdt>
        <w:sdtPr>
          <w:tag w:val="goog_rdk_33"/>
          <w:id w:val="1052957636"/>
        </w:sdtPr>
        <w:sdtContent>
          <w:r>
            <w:rPr/>
          </w:r>
          <w:r>
            <w:rPr/>
          </w:r>
        </w:sdtContent>
      </w:sdt>
      <w:r>
        <w:rPr/>
        <w:t xml:space="preserve">  </w:t>
      </w:r>
      <w:r>
        <w:rPr>
          <w:rFonts w:eastAsia="Times New Roman" w:cs="Times New Roman" w:ascii="Times New Roman" w:hAnsi="Times New Roman"/>
          <w:color w:val="000000"/>
          <w:sz w:val="24"/>
          <w:szCs w:val="24"/>
        </w:rPr>
        <w:t>responsabilizar-se pelos ônus, danos, despesas, pagamentos, indenizações e eventuais medidas judiciais decorrentes de atos ou fatos, inclusive de natureza ambiental, anteriores à ORDEM DE INÍCIO relacionados ao OBJETO da CONCESSÃO, bem como de atos ou fatos que, embora posteriores à ORDEM DE INÍCIO, decorram de culpa exclusiva do PODER CONCEDENTE ou de quaisquer terceiros por ele contratados;</w:t>
      </w:r>
    </w:p>
    <w:p>
      <w:pPr>
        <w:pStyle w:val="Normal"/>
        <w:pBdr/>
        <w:spacing w:before="0" w:after="160"/>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0"/>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vistoriar para recebimento do objeto e providenciar TERMO DEFINITIVO DE ACEITAÇÃO e a emissão da ORDEM DE INÍCIO, bem como a sua publicação no DOE quando cumprido pela CONCESSIONÁRIA todos os critérios exigidos, de acordo com o item 13 do Termo de Referência.</w:t>
      </w:r>
    </w:p>
    <w:p>
      <w:pPr>
        <w:pStyle w:val="Normal"/>
        <w:pBdr/>
        <w:spacing w:before="0" w:after="160"/>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color w:val="000000"/>
          <w:sz w:val="24"/>
          <w:szCs w:val="24"/>
        </w:rPr>
      </w:pPr>
      <w:bookmarkStart w:id="29" w:name="_Toc194916555"/>
      <w:bookmarkStart w:id="30" w:name="_heading=h.2xcytpi"/>
      <w:bookmarkEnd w:id="30"/>
      <w:r>
        <w:rPr>
          <w:rFonts w:eastAsia="Times New Roman" w:cs="Times New Roman" w:ascii="Times New Roman" w:hAnsi="Times New Roman"/>
          <w:b/>
          <w:color w:val="000000"/>
          <w:sz w:val="24"/>
          <w:szCs w:val="24"/>
        </w:rPr>
        <w:t>CONTRATAÇÃO DE TERCEIROS PELA CONCESSIONÁRIA</w:t>
      </w:r>
      <w:bookmarkEnd w:id="29"/>
    </w:p>
    <w:p>
      <w:pPr>
        <w:pStyle w:val="Normal"/>
        <w:spacing w:lineRule="auto" w:line="319"/>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Par</w:t>
      </w:r>
      <w:r>
        <w:rPr>
          <w:rFonts w:eastAsia="Times New Roman" w:cs="Times New Roman" w:ascii="Times New Roman" w:hAnsi="Times New Roman"/>
          <w:color w:val="000000"/>
          <w:sz w:val="24"/>
          <w:szCs w:val="24"/>
        </w:rPr>
        <w:t xml:space="preserve">a a execução dos SERVIÇOS, a CONCESSIONÁRIA poderá </w:t>
      </w:r>
      <w:r>
        <w:rPr>
          <w:rFonts w:eastAsia="Times New Roman" w:cs="Times New Roman" w:ascii="Times New Roman" w:hAnsi="Times New Roman"/>
          <w:sz w:val="24"/>
          <w:szCs w:val="24"/>
        </w:rPr>
        <w:t>subcontratar os serviços de: profissionais em luto (psicólogos), serviços de preparação de corpos, tanatopraxia, embalsamamento, reconstituição facial e mumificação, visando desonerar o custo de tais serviços já que estes profissionais não são constantemente utilizados na atividade, desde que tais procedimentos sejam realizados em sua área operacional, sendo, entretanto, responsável por esses serviços, nos termos do artigo 122 da Lei n.º 14.133/21 e suas alterações.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 conhecimento do PODER CONCEDENTE acerca de eventuais contratos firmados com terceiros não exime a CONCESSIONÁRIA do cumprimento, total ou parcial, de suas obrigações decorrentes deste CONTRATO.</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terá responsabilidade objetiva pelos danos que seus empregados ou terceiros contratados, nesta qualidade, causarem aos usuários, ao PODER CONCEDENTE e a terceiros.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Os empregados e terceiros contratados pela CONCESSIONÁRIA deverão ter capacidade técnica compatível com as melhores práticas para o desempenho de suas atividades.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assume total e exclusiva responsabilidade de natureza trabalhista, previdenciária, fiscal, acidentária ou qualquer outra relativa aos seus subcontratados, empregados e terceirizados.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deverá indenizar e manter o PODER CONCEDENTE indene em relação a qualquer demanda ou prejuízo que este venha a sofrer em virtude de atos praticados pela CONCESSIONÁRIA, seus administradores, empregados, prepostos, prestadores de serviços, terceiros com quem tenha contratado ou qualquer outra pessoa física ou jurídica a ela vinculada.</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deverá também indenizar e manter o PODER CONCEDENTE indene em relação às despesas processuais, honorários de advogado e demais encargos com os quais, direta ou indiretamente, venha a arcar em função das ocorrências descritas na Cláusula 12.5, acima.</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deverá integrar conjunta e obrigatoriamente o polo passivo de eventual processo judicial vinculado ao objeto deste CONTRATO, aceitando voluntariamente denunciação à lide apresentada pelo PODER CONCEDENTE, sem limitar sua responsabilidade nas ações decorrentes da prestação dos SERVIÇOS.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b/>
          <w:color w:val="000000"/>
          <w:sz w:val="24"/>
          <w:szCs w:val="24"/>
        </w:rPr>
      </w:pPr>
      <w:bookmarkStart w:id="31" w:name="_Toc194916556"/>
      <w:r>
        <w:rPr>
          <w:rFonts w:eastAsia="Times New Roman" w:cs="Times New Roman" w:ascii="Times New Roman" w:hAnsi="Times New Roman"/>
          <w:b/>
          <w:color w:val="000000"/>
          <w:sz w:val="24"/>
          <w:szCs w:val="24"/>
        </w:rPr>
        <w:t>DIREITOS DA CONCESSIONÁRIA</w:t>
      </w:r>
      <w:bookmarkEnd w:id="31"/>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bookmarkStart w:id="32" w:name="_heading=h.1ci93xb"/>
      <w:bookmarkEnd w:id="32"/>
      <w:r>
        <w:rPr>
          <w:rFonts w:eastAsia="Times New Roman" w:cs="Times New Roman" w:ascii="Times New Roman" w:hAnsi="Times New Roman"/>
          <w:color w:val="000000"/>
          <w:sz w:val="24"/>
          <w:szCs w:val="24"/>
        </w:rPr>
        <w:t>Sem prejuízo de outros direitos previstos na legislação aplicável e neste CONTRATO, são direitos da CONCESSIONÁRIA:</w:t>
      </w:r>
    </w:p>
    <w:p>
      <w:pPr>
        <w:pStyle w:val="Normal"/>
        <w:pBdr/>
        <w:spacing w:lineRule="auto" w:line="319"/>
        <w:ind w:right="49"/>
        <w:rPr>
          <w:color w:val="000000"/>
        </w:rPr>
      </w:pPr>
      <w:r>
        <w:rPr>
          <w:color w:val="000000"/>
        </w:rPr>
      </w:r>
    </w:p>
    <w:p>
      <w:pPr>
        <w:pStyle w:val="Normal"/>
        <w:numPr>
          <w:ilvl w:val="0"/>
          <w:numId w:val="3"/>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prestar os SERVIÇOS e explorar o OBJETO da CONCESSÃO com liberdade empresarial e de gestão de suas atividades, observadas as limitações e condicionantes fixadas neste CONTRATO e seus ANEXOS, bem como os princípios e regras aplicáveis ao PODER CONCEDENTE; </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3"/>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auferir as receitas decorrentes da CONCESSÃO de forma exclusiva, nos termos deste CONTRATO e da legislação vigente; </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3"/>
        </w:numPr>
        <w:pBdr/>
        <w:spacing w:lineRule="auto" w:line="319"/>
        <w:ind w:hanging="0"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fazer jus à manutenção do equilíbrio econômico-financeiro, na forma deste CONTRATO;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3"/>
        </w:numPr>
        <w:pBdr/>
        <w:spacing w:lineRule="auto" w:line="319"/>
        <w:ind w:hanging="0" w:left="567"/>
        <w:jc w:val="both"/>
        <w:rPr>
          <w:rFonts w:ascii="Times New Roman" w:hAnsi="Times New Roman" w:eastAsia="Times New Roman" w:cs="Times New Roman"/>
          <w:color w:val="000000"/>
          <w:sz w:val="24"/>
          <w:szCs w:val="24"/>
        </w:rPr>
      </w:pPr>
      <w:bookmarkStart w:id="33" w:name="_heading=h.19c6y18"/>
      <w:bookmarkEnd w:id="33"/>
      <w:r>
        <w:rPr>
          <w:rFonts w:eastAsia="Times New Roman" w:cs="Times New Roman" w:ascii="Times New Roman" w:hAnsi="Times New Roman"/>
          <w:color w:val="000000"/>
          <w:sz w:val="24"/>
          <w:szCs w:val="24"/>
        </w:rPr>
        <w:t>poderá(ão) subcontratar os serviços de profissionais que não são constantemente utilizados na atividade, conforme item 12 do Termo de Referência, visando desonerar o custo, e desde que tais procedimentos sejam realizados em sua área operacional, sendo, entretanto, responsável por esses serviços, nos termos do artigo 122 da Lei n.º 14.133/21 e suas alterações.</w:t>
      </w:r>
    </w:p>
    <w:p>
      <w:pPr>
        <w:pStyle w:val="Normal"/>
        <w:pBdr/>
        <w:spacing w:lineRule="auto" w:line="319"/>
        <w:ind w:left="128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 CONCESSIONÁRIA, diretamente ou através de suas subcontratadas e parceiras, deverá responsabilizar-se pelos contratos de trabalho de seus prepostos ou empregados e pelo cumprimento de todas as obrigações trabalhistas, fiscais e previdenciárias, inclusive as decorrentes de acidentes, indenizações, multas, seguros, normas de saúde pública e regulamentadoras do trabalho.</w:t>
      </w:r>
    </w:p>
    <w:p>
      <w:pPr>
        <w:pStyle w:val="Normal"/>
        <w:pBdr/>
        <w:spacing w:lineRule="auto" w:line="319"/>
        <w:ind w:left="568"/>
        <w:rPr>
          <w:color w:val="000000"/>
        </w:rPr>
      </w:pPr>
      <w:r>
        <w:rPr>
          <w:color w:val="000000"/>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Os contratos firmados pela CONCESSIONÁRIA com terceiros serão regidos por regras de direito privado, não se estabelecendo nenhum vínculo entre esses terceiros e o PODER CONCEDENTE.</w:t>
      </w:r>
    </w:p>
    <w:p>
      <w:pPr>
        <w:pStyle w:val="Normal"/>
        <w:pBdr/>
        <w:spacing w:lineRule="auto" w:line="319"/>
        <w:ind w:left="128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bookmarkStart w:id="34" w:name="_heading=h.28h4qwu"/>
      <w:bookmarkEnd w:id="34"/>
      <w:r>
        <w:rPr>
          <w:rFonts w:eastAsia="Times New Roman" w:cs="Times New Roman" w:ascii="Times New Roman" w:hAnsi="Times New Roman"/>
          <w:color w:val="000000"/>
          <w:sz w:val="24"/>
          <w:szCs w:val="24"/>
        </w:rPr>
        <w:t>A demora na obtenção de licenças, alvarás e autorizações exigidas para a plena execução do OBJETO da CONCESSÃO, por fato imputável à Administração Pública, em nível municipal, estadual ou federal, assim entendida como a demora decorrente de fato não imputável à CONCESSIONÁRIA, em prazo superior a 6 (seis) meses do protocolo do pedido, regularmente instruído pela CONCESSIONÁRIA, ensejará a  ampliação do prazo da CONCESSÃO no tempo equivalente à demora identificada, sem prejuízo de outras formas de recomposição do equilíbrio econômico financeiro deste CONTRATO em favor da CONCESSIONÁRIA, caso necessário.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sz w:val="24"/>
          <w:szCs w:val="24"/>
        </w:rPr>
      </w:pPr>
      <w:bookmarkStart w:id="35" w:name="_Toc194916557"/>
      <w:sdt>
        <w:sdtPr>
          <w:tag w:val="goog_rdk_37"/>
          <w:id w:val="1235288907"/>
        </w:sdtPr>
        <w:sdtContent>
          <w:r>
            <w:rPr/>
          </w:r>
          <w:r>
            <w:rPr/>
          </w:r>
        </w:sdtContent>
      </w:sdt>
      <w:r>
        <w:rPr>
          <w:rFonts w:eastAsia="Times New Roman" w:cs="Times New Roman" w:ascii="Times New Roman" w:hAnsi="Times New Roman"/>
          <w:b/>
          <w:color w:val="000000"/>
          <w:sz w:val="24"/>
          <w:szCs w:val="24"/>
        </w:rPr>
        <w:t>DA FISCALIZAÇÃO</w:t>
      </w:r>
      <w:bookmarkEnd w:id="35"/>
      <w:r>
        <w:rPr>
          <w:rFonts w:eastAsia="Times New Roman" w:cs="Times New Roman" w:ascii="Times New Roman" w:hAnsi="Times New Roman"/>
          <w:b/>
          <w:color w:val="000000"/>
          <w:sz w:val="24"/>
          <w:szCs w:val="24"/>
        </w:rPr>
        <w:t xml:space="preserve"> </w:t>
      </w:r>
    </w:p>
    <w:p>
      <w:pPr>
        <w:pStyle w:val="Normal"/>
        <w:spacing w:lineRule="auto" w:line="319"/>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fiscalização da execução do CONTRATO e dos SERVIÇOS concedidos será realizada pelo PODER CONCEDENTE, de acordo com o exposto na legislação e regulamentos que disciplinam a atividade.</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fiscalização de que trata esta Cláusula não diminui, nem isenta as responsabilidades assumidas pela CONCESSIONÁRIA das responsabilidades estabelecidas em lei, regulamentos, EDITAL e, especialmente, neste CONTRATO e seus ANEXOS.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 PODER CONCEDENTE através de ato executivo próprio, nomeará o gestor e o fiscal responsável pelo CONTRATO e dos termos do EDITAL e seus ANEXOS.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fim de garantir a correta execução das obrigações contratuais pela CONCESSIONÁRIA, o PODER CONCEDENTE deverá verificar os relatórios entregues pela CONCESSIONÁRIA na forma deste CONTRATO, além de realizar vistorias quando entender necessário.</w:t>
      </w:r>
    </w:p>
    <w:p>
      <w:pPr>
        <w:pStyle w:val="Normal"/>
        <w:pBdr/>
        <w:spacing w:lineRule="auto" w:line="319"/>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b/>
          <w:color w:val="auto"/>
          <w:sz w:val="24"/>
          <w:szCs w:val="24"/>
        </w:rPr>
      </w:pPr>
      <w:bookmarkStart w:id="36" w:name="_Toc194916558"/>
      <w:bookmarkStart w:id="37" w:name="_heading=h.3whwml4"/>
      <w:bookmarkEnd w:id="37"/>
      <w:r>
        <w:rPr>
          <w:rFonts w:eastAsia="Times New Roman" w:cs="Times New Roman" w:ascii="Times New Roman" w:hAnsi="Times New Roman"/>
          <w:b/>
          <w:color w:val="auto"/>
          <w:sz w:val="24"/>
          <w:szCs w:val="24"/>
        </w:rPr>
        <w:t>SEGUROS</w:t>
      </w:r>
      <w:bookmarkEnd w:id="36"/>
      <w:r>
        <w:rPr>
          <w:rFonts w:eastAsia="Times New Roman" w:cs="Times New Roman" w:ascii="Times New Roman" w:hAnsi="Times New Roman"/>
          <w:b/>
          <w:color w:val="auto"/>
          <w:sz w:val="24"/>
          <w:szCs w:val="24"/>
        </w:rPr>
        <w:t xml:space="preserve"> </w:t>
      </w:r>
    </w:p>
    <w:p>
      <w:pPr>
        <w:pStyle w:val="Normal"/>
        <w:rPr/>
      </w:pPr>
      <w:r>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 xml:space="preserve">Durante todo o prazo de vigência da CONCESSÃO, a CONCESSIONÁRIA deverá manter, com </w:t>
      </w:r>
      <w:bookmarkStart w:id="38" w:name="_Hlk194570808"/>
      <w:r>
        <w:rPr>
          <w:rFonts w:eastAsia="Times New Roman" w:cs="Times New Roman" w:ascii="Times New Roman" w:hAnsi="Times New Roman"/>
          <w:color w:val="000000"/>
          <w:sz w:val="24"/>
          <w:szCs w:val="24"/>
        </w:rPr>
        <w:t>companhia seguradora autorizada a funcionar e operar no Brasil e de porte compatível com o objeto segurado, apólices de seguros necessárias para assegurar a efetiva e abrangente cobertura de riscos inerentes ao desenvolvimento de SERVIÇOS, sem prejuízo dos seguros exigíveis pela legislação aplicável.</w:t>
      </w:r>
      <w:bookmarkEnd w:id="38"/>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bookmarkStart w:id="39" w:name="_Hlk198556763"/>
      <w:r>
        <w:rPr>
          <w:rFonts w:eastAsia="Times New Roman" w:cs="Times New Roman" w:ascii="Times New Roman" w:hAnsi="Times New Roman"/>
          <w:color w:val="000000"/>
          <w:sz w:val="24"/>
          <w:szCs w:val="24"/>
        </w:rPr>
        <w:t>A comprovação de contratação dos seguros</w:t>
      </w:r>
      <w:bookmarkEnd w:id="39"/>
      <w:r>
        <w:rPr>
          <w:rFonts w:eastAsia="Times New Roman" w:cs="Times New Roman" w:ascii="Times New Roman" w:hAnsi="Times New Roman"/>
          <w:color w:val="000000"/>
          <w:sz w:val="24"/>
          <w:szCs w:val="24"/>
        </w:rPr>
        <w:t xml:space="preserve"> deverá ser apresentada pela CONCESSIONÁRIA juntamente com a documentação necessária para ORDEM DE INÍCIO, de acordo com o item 13 do Anexo I do EDITAL - TERMO DE REFERÊNCIA, e para a o TERMO DEFINITIVO DE ACEITAÇÃO do OBJETO da CONCESSÃO, de acordo com o item 6 do Anexo I do TERMO DE REFERÊNCIA. </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bookmarkStart w:id="40" w:name="_Hlk194570837"/>
      <w:r>
        <w:rPr>
          <w:rFonts w:eastAsia="Times New Roman" w:cs="Times New Roman" w:ascii="Times New Roman" w:hAnsi="Times New Roman"/>
          <w:color w:val="000000"/>
          <w:sz w:val="24"/>
          <w:szCs w:val="24"/>
        </w:rPr>
        <w:t>A CONCESSIONÁRIA deverá contratar seguro de responsabilidade civil referente ao OBJETO deste CONTRATO, com renovação anual de suas apólices, que deverão prever indenizações por danos pessoais contra usuários e terceiros, bem como danos materiais, decorrente de qualquer ocorrência de sinistro, sob pena de suportar integralmente os danos referidos nesta cláusula.</w:t>
      </w:r>
      <w:bookmarkEnd w:id="40"/>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Os valores contratados deverão ser definidos pela CONCESSIONÁRIA, devendo as franquias serem aquelas praticadas pelo mercado segurador em negócios desta natureza.</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Todas as apólices de seguro deverão ter vigência mínima de 12 (doze) meses.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deverá fornecer, em prazo não superior a 30 (trinta) dias do início de cada ano da CONCESSÃO, certificado emitido pela(s) seguradora(s) confirmando que todas as apólices de seguros contratadas estão válidas, e que os respectivos prêmios se encontram pagos.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deverá fornecer, no final da vigência do seguro, caso não possua a nova apólice, certificado emitido pela(s) seguradora(s) confirmando que os riscos envolvidos foram colocados no mercado segurador, conforme período determinado e de acordo com as coberturas e franquias solicitadas por ela, aguardando apenas a conclusão de procedimentos regulatórios e/ou burocráticos para emissão da nova apólice.</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deverá fazer constar das apólices de seguro a obrigação da seguradora de informar por escrito, com antecedência mínima de 30 (trinta) dias, à CONCESSIONÁRIA e ao PODER CONCEDENTE, quaisquer fatos que possam implicar o cancelamento, total ou parcial, dos seguros contratados, redução de cobertura, aumento de franquia ou redução de importâncias seguradas, observadas as situações previstas em lei.</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deverá estipular, por sua conta e risco, as coberturas, os valores segurados e os níveis de franquia mais adequados aos riscos envolvidos.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é responsável pelo pagamento integral da franquia, em caso de utilização de qualquer seguro previsto no CONTRATO.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Eventuais diferenças entre os valores contratados e as indenizações/sinistros pagos não ensejarão direito ao reequilíbrio econômico-financeiro do CONTRATO e nem elidirão a obrigação da CONCESSIONÁRIA de cumprir todas as obrigações previstas no CONTRATO, não podendo servir de motivo para a não realização de qualquer investimento objeto deste CONTRATO, especialmente outros investimentos que se mostrem necessários em função da ocorrência do sinistro, cujos valores não tenham sido cobertos integralmente pelas apólices.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As apólices emitidas não poderão conter obrigações, restrições ou disposições que contrariem as disposições do presente CONTRATO ou a regulação setorial.</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As apólices de seguro contratadas pela CONCESSIONÁRIA deverão conter expressamente a cláusula de recomposição automática dos valores segurados, inclusive para o seguro de Responsabilidades Civil, a não ser que essa cobertura não esteja disponível no mercado segurador.</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Todos os seguros contratados para os fins deste CONTRATO deverão ser contratados com seguradoras e resseguradoras autorizadas a operar no Brasil, apresentando, sempre, Certidão de Regularidade Operacional expedida pela SUSEP, em nome da seguradora que emitir cada apólice.</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Qualquer indenização devida em decorrência de sinistros cobertos pelo seguro previsto nesta Cláusula deverá ser objeto de comunicação ao PODER CONCEDENTE até 5 (cinco) dias após o pagamento.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A CONCESSIONÁRIA deverá registrar, na comunicação referida na Cláusula anterior, o montante devido, bem como as causas que deram origem à indenização e a data de ocorrência.</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assume toda a responsabilidade pela abrangência ou omissões decorrentes da realização dos seguros de que trata este CONTRATO, inclusive para fins dos riscos assumidos.</w:t>
      </w:r>
    </w:p>
    <w:p>
      <w:pPr>
        <w:pStyle w:val="Normal"/>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bookmarkStart w:id="41" w:name="_heading=h.2bn6wsx"/>
      <w:bookmarkStart w:id="42" w:name="_heading=h.2bn6wsx"/>
      <w:bookmarkEnd w:id="42"/>
    </w:p>
    <w:p>
      <w:pPr>
        <w:pStyle w:val="Heading1"/>
        <w:numPr>
          <w:ilvl w:val="0"/>
          <w:numId w:val="9"/>
        </w:numPr>
        <w:spacing w:lineRule="auto" w:line="319" w:before="0" w:after="0"/>
        <w:jc w:val="both"/>
        <w:rPr>
          <w:rFonts w:ascii="Times New Roman" w:hAnsi="Times New Roman" w:eastAsia="Times New Roman" w:cs="Times New Roman"/>
          <w:sz w:val="24"/>
          <w:szCs w:val="24"/>
        </w:rPr>
      </w:pPr>
      <w:bookmarkStart w:id="43" w:name="_heading=h.2bn6wsx"/>
      <w:bookmarkStart w:id="44" w:name="_Toc194916559"/>
      <w:bookmarkEnd w:id="43"/>
      <w:sdt>
        <w:sdtPr>
          <w:tag w:val="goog_rdk_38"/>
          <w:id w:val="-209659019"/>
        </w:sdtPr>
        <w:sdtContent>
          <w:r>
            <w:rPr/>
          </w:r>
          <w:r>
            <w:rPr/>
          </w:r>
        </w:sdtContent>
      </w:sdt>
      <w:sdt>
        <w:sdtPr>
          <w:tag w:val="goog_rdk_39"/>
          <w:id w:val="-1912375988"/>
        </w:sdtPr>
        <w:sdtContent>
          <w:r>
            <w:rPr/>
          </w:r>
          <w:r>
            <w:rPr/>
          </w:r>
        </w:sdtContent>
      </w:sdt>
      <w:r>
        <w:rPr>
          <w:rFonts w:eastAsia="Times New Roman" w:cs="Times New Roman" w:ascii="Times New Roman" w:hAnsi="Times New Roman"/>
          <w:b/>
          <w:color w:val="000000"/>
          <w:sz w:val="24"/>
          <w:szCs w:val="24"/>
        </w:rPr>
        <w:t>DA ALOCAÇÃO DE RISCOS</w:t>
      </w:r>
      <w:bookmarkEnd w:id="44"/>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CONCESSIONÁRIA é integral e exclusivamente responsável por todos os riscos relacionados à CONCESSÃO, salvo disposição expressa em contrário no CONTRATO.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Na ocorrência de CASO FORTUITO ou FORÇA MAIOR, cujas consequências não sejam cobertas por seguro disponível no mercado securitário brasileiro e em condições comerciais viáveis, as PARTES acordarão se haverá lugar à recomposição do equilíbrio econômico-financeiro ou à extinção da CONCESSÃO, tendo-se por base as consequências dos eventos para a continuidade do CONTRATO.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As PARTES comprometem-se a empregar todas as medidas e ações necessárias a fim de minimizar os efeitos decorrentes dos eventos de CASO FORTUITO ou FORÇA MAIOR.</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sz w:val="24"/>
          <w:szCs w:val="24"/>
        </w:rPr>
      </w:pPr>
      <w:bookmarkStart w:id="45" w:name="_Toc194916560"/>
      <w:bookmarkStart w:id="46" w:name="_heading=h.qsh70q"/>
      <w:bookmarkEnd w:id="46"/>
      <w:r>
        <w:rPr>
          <w:rFonts w:eastAsia="Times New Roman" w:cs="Times New Roman" w:ascii="Times New Roman" w:hAnsi="Times New Roman"/>
          <w:b/>
          <w:color w:val="000000"/>
          <w:sz w:val="24"/>
          <w:szCs w:val="24"/>
        </w:rPr>
        <w:t>DOS RISCOS ASSUMIDOS PELA CONCESSIONÁRIA</w:t>
      </w:r>
      <w:bookmarkEnd w:id="45"/>
    </w:p>
    <w:p>
      <w:pPr>
        <w:pStyle w:val="Normal"/>
        <w:pBdr/>
        <w:spacing w:lineRule="auto" w:line="319"/>
        <w:ind w:left="360"/>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São riscos assumidos pela CONCESSIONÁRIA, que não ensejarão o reequilíbrio econômico-financeiro da CONCESSÃO: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variação e custos ordinários de insumos, custos operacionais, de manutenção e investimentos, inclusive em razão de flutuação cambial;</w:t>
      </w:r>
    </w:p>
    <w:p>
      <w:pPr>
        <w:pStyle w:val="Normal"/>
        <w:pBdr/>
        <w:spacing w:lineRule="auto" w:line="319"/>
        <w:ind w:left="72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erro em seus projetos e obras, nas suas estimativas de custos, de gastos e/ou de cronograma, as falhas na prestação dos SERVIÇOS e atividades e os erros ou falhas causadas pela CONCESSIONÁRIA ou pelos seus subcontratados;</w:t>
      </w:r>
    </w:p>
    <w:p>
      <w:pPr>
        <w:pStyle w:val="Normal"/>
        <w:pBdr/>
        <w:spacing w:lineRule="auto" w:line="319"/>
        <w:ind w:left="72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obtenção de licenças, permissões e autorizações relacionadas às atividades da CONCESSÃO, ressalvado o disposto na</w:t>
      </w:r>
      <w:r>
        <w:rPr/>
        <w:t xml:space="preserve"> </w:t>
      </w:r>
      <w:r>
        <w:rPr>
          <w:rFonts w:eastAsia="Times New Roman" w:cs="Times New Roman" w:ascii="Times New Roman" w:hAnsi="Times New Roman"/>
          <w:color w:val="000000"/>
          <w:sz w:val="24"/>
          <w:szCs w:val="24"/>
        </w:rPr>
        <w:t>Cláusula 13.2 do CONTRATO;</w:t>
      </w:r>
    </w:p>
    <w:p>
      <w:pPr>
        <w:pStyle w:val="Normal"/>
        <w:pBdr/>
        <w:spacing w:lineRule="auto" w:line="319"/>
        <w:ind w:left="72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 xml:space="preserve">segurança e a saúde dos trabalhadores que estejam a ela subordinados na exploração da CONCESSÃO e/ou seus subcontratados; </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aumento dos custos de financiamentos assumidos para a realização de investimentos ou para custeio da exploração da CONCESSÃO, inclusive em razão do aumento de taxas de juros, ressalvados os casos em que ficar comprovado que o aumento dos custos relacionados ao financiamento obtido pela CONCESSIONÁRIA decorrerem de atos praticados pelo PODER CONCEDENTE no âmbito deste CONTRATO, sobretudo aqueles relacionados a eventual descumprimento das obrigações contratuais por ele assumidas;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qualidade na prestação dos SERVIÇOS e atividades atinentes à CONCESSÃO, bem como o atendimento às especificações técnicas dos SERVIÇOS.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prejuízos causados a terceiros ou ao meio ambiente por culpa da CONCESSIONÁRIA, de seus empregados, prestadores de SERVIÇOS, terceirizados, subcontratados ou por qualquer outra pessoa física ou jurídica a ela vinculada, no exercício das atividades previstas no CONTRATO e seus ANEXOS;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perecimento, destruição, roubo, furto, vandalismo, depredação, perda ou quaisquer outros tipos de danos causados aos bens da concessionária.</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riscos que possam ser objeto de cobertura de seguros oferecidos no Brasil na data de sua ocorrência, inclusive para as hipóteses de CASO FORTUITO ou FORÇA MAIOR, bem como a variação no seu preço;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encargos trabalhistas, previdenciários, fiscais e comerciais resultantes da execução deste CONTRATO, incluída a elevação do custo de mão de obra por acordo, convenção ou dissídio coletivo de trabalho, e as responsabilizações deles decorrentes, incluídas aquelas relacionadas às empresas eventualmente subcontratadas no âmbito da CONCESSÃO;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greves ou paralisações realizadas por empregados contratados pela CONCESSIONÁRIA, pelas suas subcontratadas ou pelas prestadoras de SERVIÇOS à CONCESSIONÁRIA;</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realização e o pagamento de eventuais ajustes e adequações necessárias para o cumprimento das diretrizes mínimas estabelecidas neste CONTRATO e em seus ANEXOS;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 xml:space="preserve">custos de ações judiciais de terceiros contra a CONCESSIONÁRIA ou subcontratadas decorrentes da execução do OBJETO da CONCESSÃO, salvo se por fato imputável ao PODER CONCEDENTE; </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 xml:space="preserve">manifestações sociais e/ou públicas que comprometam a execução do OBJETO da CONCESSÃO ou que acarretem danos aos BENS VINCULADOS à CONCESSÃO; </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 xml:space="preserve">ocorrência de interrupção ou falha do fornecimento de materiais ou serviços pelos seus contratados e os atrasos daí decorrentes; </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incidência de responsabilidade civil, administrativa, ambiental, tributária e criminal por fatos que possam ocorrer durante a prestação dos SERVIÇOS;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as ineficiências ou perdas econômicas decorrentes de falhas na organização operacional e programação dos SERVIÇOS realizados pela CONCESSIONÁRIA;</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os riscos que possam ser objeto de cobertura de seguros oferecidos à época de sua ocorrência, mas que deixaram de ser por resultado direto ou indireto de ação ou omissão da CONCESSIONÁRIA;</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2"/>
        </w:numPr>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recuperação, prevenção, correção e gerenciamento de passivo ambiental relacionado à CONCESSÃO, cujo fato gerador tenha ocorrido </w:t>
      </w:r>
      <w:sdt>
        <w:sdtPr>
          <w:tag w:val="goog_rdk_42"/>
          <w:id w:val="-527185731"/>
        </w:sdtPr>
        <w:sdtContent>
          <w:r>
            <w:rPr>
              <w:rFonts w:eastAsia="Times New Roman" w:cs="Times New Roman" w:ascii="Times New Roman" w:hAnsi="Times New Roman"/>
              <w:color w:val="000000"/>
              <w:sz w:val="24"/>
              <w:szCs w:val="24"/>
            </w:rPr>
          </w:r>
          <w:r>
            <w:rPr>
              <w:rFonts w:eastAsia="Times New Roman" w:cs="Times New Roman" w:ascii="Times New Roman" w:hAnsi="Times New Roman"/>
              <w:color w:val="000000"/>
              <w:sz w:val="24"/>
              <w:szCs w:val="24"/>
            </w:rPr>
          </w:r>
        </w:sdtContent>
      </w:sdt>
      <w:r>
        <w:rPr>
          <w:rFonts w:eastAsia="Times New Roman" w:cs="Times New Roman" w:ascii="Times New Roman" w:hAnsi="Times New Roman"/>
          <w:color w:val="000000"/>
          <w:sz w:val="24"/>
          <w:szCs w:val="24"/>
        </w:rPr>
        <w:t xml:space="preserve">posteriormente à </w:t>
      </w:r>
      <w:r>
        <w:rPr>
          <w:rFonts w:eastAsia="Times New Roman" w:cs="Times New Roman" w:ascii="Times New Roman" w:hAnsi="Times New Roman"/>
          <w:color w:val="000000"/>
          <w:sz w:val="24"/>
          <w:szCs w:val="24"/>
        </w:rPr>
        <w:t>ORDEM DE INÍCIO, inclusive o passivo ambiental referente à destinação final de resíduos, equipamentos ou bens relativos à CONCESSÃO.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color w:val="auto"/>
          <w:sz w:val="24"/>
          <w:szCs w:val="24"/>
        </w:rPr>
      </w:pPr>
      <w:bookmarkStart w:id="47" w:name="_Toc194916561"/>
      <w:bookmarkStart w:id="48" w:name="_heading=h.3as4poj"/>
      <w:bookmarkEnd w:id="48"/>
      <w:r>
        <w:rPr>
          <w:rFonts w:eastAsia="Times New Roman" w:cs="Times New Roman" w:ascii="Times New Roman" w:hAnsi="Times New Roman"/>
          <w:b/>
          <w:color w:val="auto"/>
          <w:sz w:val="24"/>
          <w:szCs w:val="24"/>
        </w:rPr>
        <w:t>DOS RISCOS NÃO ASSUMIDOS PELA CONCESSIONÁRIA</w:t>
      </w:r>
      <w:bookmarkEnd w:id="47"/>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Não são riscos alocados à CONCESSIONÁRIA, dando ensejo ao procedimento de recomposição do equilíbrio econômico-financeiro, nas hipóteses de incremento ou redução dos custos por ela incorridos, aqueles relacionados: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6"/>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as decisões judiciais ou administrativas que diretamente impactem ou onerem, impeçam ou impossibilitem a CONCESSIONÁRIA de explorar integral ou parcialmente o OBJETO da CONCESSÃO, exceto nos casos em que a CONCESSIONÁRIA houver dado causa à situação sobre a qual estiverem fundadas referidas decisões;</w:t>
      </w:r>
    </w:p>
    <w:p>
      <w:pPr>
        <w:pStyle w:val="Normal"/>
        <w:pBdr/>
        <w:spacing w:lineRule="auto" w:line="319"/>
        <w:ind w:left="72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6"/>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a atrasos ou inexecução das obrigações da CONCESSIONÁRIA causados pela demora ou omissão do PODER CONCEDENTE ou de demais órgãos ou entidades do MUNICÍPIO, desde que comprovada a regularidade formal, a tempestividade e a adequação dos requerimentos e solicitações encaminhados pela CONCESSIONÁRIA, e desde que os órgãos ou entidades competentes provocadas deixem de observar o prazo regulamentar a eles conferido para a respectiva manifestação;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6"/>
        </w:numPr>
        <w:pBdr/>
        <w:spacing w:lineRule="auto" w:line="319"/>
        <w:ind w:hanging="360" w:left="574"/>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 xml:space="preserve">ao descumprimento, pelo PODER CONCEDENTE, de suas obrigações contratuais ou regulamentares, incluindo, mas não se limitando ao descumprimento de prazos a ele aplicáveis nos termos deste CONTRATO ou na legislação vigente; </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6"/>
        </w:numPr>
        <w:pBdr/>
        <w:spacing w:lineRule="auto" w:line="319"/>
        <w:ind w:hanging="360" w:left="574"/>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à imposição, pelo PODER CONCEDENTE, de novas obrigações, ou alteração unilateral das obrigações originalmente contempladas no CONTRATO que provoque impacto nos custos e encargos da CONCESSIONÁRIA;</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6"/>
        </w:numPr>
        <w:pBdr/>
        <w:spacing w:lineRule="auto" w:line="319"/>
        <w:ind w:hanging="360" w:left="574"/>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à greve dos funcionários e empregados do PODER CONCEDENTE que comprovadamente impeça ou impossibilite a CONCESSIONÁRIA de explorar integral ou parcialmente OBJETO da CONCESSÃO regulada por este CONTRATO;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6"/>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custos de recuperação, prevenção, correção e gerenciamento de passivo ambiental relacionados à CONCESSÃO, cujo fato gerador tenha ocorrido anteriormente à DATA DE EFICÁCIA;</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6"/>
        </w:numPr>
        <w:pBdr/>
        <w:spacing w:lineRule="auto" w:line="319"/>
        <w:ind w:hanging="360"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quaisquer tributos ou encargos legais criados, alterados ou extintos, após a assinatura do CONTRATO, que incidam direta ou indiretamente sobre os SERVIÇOS prestados pela CONCESSIONÁRIA, salvo aqueles atinentes a impostos/contribuições sobre a renda, que tenham impacto nas receitas ou despesas da CONCESSIONÁRIA;</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6"/>
        </w:numPr>
        <w:pBdr/>
        <w:spacing w:lineRule="auto" w:line="319"/>
        <w:ind w:hanging="360"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custos decorrentes do atraso na expedição, incluindo a demora na análise e aprovação da documentação, a não obtenção ou a negativa injustificada por parte das autoridades competentes, das licenças e autorizações necessárias à exploração do OBJETO da CONCESSÃO, desde que comprovado pela CONCESSIONÁRIA o cumprimento de todas as exigências legais e regulatórias previstas pela Administração Pública, observado no disposto no item 19.2 deste CONTRATO.</w:t>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bookmarkStart w:id="49" w:name="_heading=h.1pxezwc"/>
      <w:bookmarkStart w:id="50" w:name="_heading=h.1pxezwc"/>
      <w:bookmarkEnd w:id="50"/>
    </w:p>
    <w:p>
      <w:pPr>
        <w:pStyle w:val="Heading1"/>
        <w:numPr>
          <w:ilvl w:val="0"/>
          <w:numId w:val="9"/>
        </w:numPr>
        <w:spacing w:lineRule="auto" w:line="319" w:before="0" w:after="0"/>
        <w:jc w:val="both"/>
        <w:rPr>
          <w:rFonts w:ascii="Times New Roman" w:hAnsi="Times New Roman" w:eastAsia="Times New Roman" w:cs="Times New Roman"/>
          <w:color w:val="auto"/>
          <w:sz w:val="24"/>
          <w:szCs w:val="24"/>
        </w:rPr>
      </w:pPr>
      <w:bookmarkStart w:id="51" w:name="_heading=h.1pxezwc"/>
      <w:bookmarkStart w:id="52" w:name="_Toc194916562"/>
      <w:bookmarkEnd w:id="51"/>
      <w:sdt>
        <w:sdtPr>
          <w:tag w:val="goog_rdk_45"/>
          <w:id w:val="-448159724"/>
        </w:sdtPr>
        <w:sdtContent>
          <w:r>
            <w:rPr/>
          </w:r>
          <w:r>
            <w:rPr/>
          </w:r>
        </w:sdtContent>
      </w:sdt>
      <w:sdt>
        <w:sdtPr>
          <w:tag w:val="goog_rdk_46"/>
          <w:id w:val="1882355885"/>
        </w:sdtPr>
        <w:sdtContent>
          <w:r>
            <w:rPr/>
          </w:r>
          <w:r>
            <w:rPr/>
          </w:r>
        </w:sdtContent>
      </w:sdt>
      <w:r>
        <w:rPr>
          <w:rFonts w:eastAsia="Times New Roman" w:cs="Times New Roman" w:ascii="Times New Roman" w:hAnsi="Times New Roman"/>
          <w:b/>
          <w:color w:val="auto"/>
          <w:sz w:val="24"/>
          <w:szCs w:val="24"/>
        </w:rPr>
        <w:t>DO EQUILÍBRIO ECONÔMICO-FINANCEIRO</w:t>
      </w:r>
      <w:bookmarkEnd w:id="52"/>
    </w:p>
    <w:p>
      <w:pPr>
        <w:pStyle w:val="Normal"/>
        <w:spacing w:lineRule="auto" w:line="319"/>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Sempre que atendidas as condições deste CONTRATO, observada a alocação de riscos nele estabelecida, considerar-se-á mantido seu equilíbrio econômico-financeiro, ao qual se vinculam, única e exclusivamente, as PARTES.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Considera-se caracterizado o desequilíbrio econômico-financeiro do CONTRATO quando qualquer das PARTES sofrer os efeitos financeiros, positivos ou negativos, de evento cujo risco não tenha sido a ela alocado, nos termos deste CONTRATO.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recomposição do equilíbrio econômico-financeiro do CONTRATO será efetivada, de comum acordo entre as PARTES, cabendo ao PODER CONCEDENTE a prerrogativa de escolher, dentre as seguintes opções, ou outras que forem legalmente admitidas, a forma pela qual será implementada:</w:t>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a) alteração do prazo de CONCESSÃO; </w:t>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b) revisão dos encargos e obrigações assumidos pela CONCESSIONÁRIA, inclusive prazos vinculantes da CONCESSÃO;</w:t>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c) outra forma definida em comum acordo entre as PARTES; e</w:t>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d) combinação das modalidades anteriores.</w:t>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As alternativas para recomposição do equilíbrio econômico-financeiro não poderão alterar a alocação de riscos originalmente previstos no CONTRATO.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não fará jus à recomposição do equilíbrio econômico-financeiro a seu favor em decorrência da verificação de quaisquer dos riscos a ela atribuídos.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Poderão ser firmados convênios, termos de cooperação ou CONTRATOS de prestação de SERVIÇOS com terceiros pelo PODER CONCEDENTE, a seu exclusivo critério, para avaliação e emissão de laudo sobre o cálculo do reequilíbrio econômico-financeiro da CONCESSÃO.</w:t>
      </w:r>
    </w:p>
    <w:p>
      <w:pPr>
        <w:pStyle w:val="Normal"/>
        <w:pBdr/>
        <w:spacing w:lineRule="auto" w:line="319"/>
        <w:jc w:val="both"/>
        <w:rPr>
          <w:rFonts w:ascii="Times New Roman" w:hAnsi="Times New Roman" w:eastAsia="Times New Roman" w:cs="Times New Roman"/>
          <w:sz w:val="24"/>
          <w:szCs w:val="24"/>
          <w:highlight w:val="yellow"/>
        </w:rPr>
      </w:pPr>
      <w:r>
        <w:rPr>
          <w:rFonts w:eastAsia="Times New Roman" w:cs="Times New Roman" w:ascii="Times New Roman" w:hAnsi="Times New Roman"/>
          <w:sz w:val="24"/>
          <w:szCs w:val="24"/>
          <w:highlight w:val="yellow"/>
        </w:rPr>
      </w:r>
    </w:p>
    <w:p>
      <w:pPr>
        <w:pStyle w:val="Heading1"/>
        <w:numPr>
          <w:ilvl w:val="0"/>
          <w:numId w:val="9"/>
        </w:numPr>
        <w:spacing w:lineRule="auto" w:line="319" w:before="0" w:after="0"/>
        <w:jc w:val="both"/>
        <w:rPr>
          <w:rFonts w:ascii="Times New Roman" w:hAnsi="Times New Roman" w:eastAsia="Times New Roman" w:cs="Times New Roman"/>
          <w:color w:val="auto"/>
          <w:sz w:val="24"/>
          <w:szCs w:val="24"/>
        </w:rPr>
      </w:pPr>
      <w:bookmarkStart w:id="53" w:name="_Toc194916563"/>
      <w:bookmarkStart w:id="54" w:name="_heading=h.49x2ik5"/>
      <w:bookmarkEnd w:id="54"/>
      <w:r>
        <w:rPr>
          <w:rFonts w:eastAsia="Times New Roman" w:cs="Times New Roman" w:ascii="Times New Roman" w:hAnsi="Times New Roman"/>
          <w:b/>
          <w:color w:val="auto"/>
          <w:sz w:val="24"/>
          <w:szCs w:val="24"/>
        </w:rPr>
        <w:t>DO PROCEDIMENTO PARA RECOMPOSIÇÃO DO EQUILÍBRIO ECONÔMICO-FINANCEIRO</w:t>
      </w:r>
      <w:bookmarkEnd w:id="53"/>
    </w:p>
    <w:p>
      <w:pPr>
        <w:pStyle w:val="Normal"/>
        <w:spacing w:lineRule="auto" w:line="319"/>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 procedimento para recomposição do equilíbrio econômico-financeiro do CONTRATO poderá ser iniciado por qualquer das PARTES quando verificado o desequilíbrio do CONTRATO.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análise da recomposição do equilíbrio econômico-financeiro do CONTRATO pressupõe a verificação das condições econômicas globais do ajuste, tomando-se como base os efeitos dos eventos que lhe deram causa, descritos em relatório técnico a ser apresentado pela PARTE que solicitar a instauração do procedimento de reequilíbrio econômico-financeiro, o qual poderá vir acompanhado de laudo pericial, estudos independentes e/ou outros documentos considerados pertinentes.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 relatório técnico de que trata a subcláusula 20.2 deverá demonstrar os efeitos dos eventos nele citados em um fluxo de caixa elaborado especificamente para a sua demonstração, considerando, dentre outros, a estimativa de variação de investimentos, a demonstração fundamentada dos custos ou despesas incorridas e a sugestão das medidas a serem adotadas para a recomposição do equilíbrio econômico-financeiro deste CONTRATO.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 procedimento de recomposição do equilíbrio econômico-financeiro suscitado por qualquer uma das PARTES deverá ser objeto de comunicação à outra PARTE, que terá o prazo de 60 (sessenta) dias, prorrogável por igual período, para manifestação, sob pena de se considerar aceita a proposta originalmente apresentada.</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Quando o pedido de recomposição do equilíbrio econômico-financeiro for iniciado pela CONCESSIONÁRIA, observar-se-á o que se segue:</w:t>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8"/>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 pedido deverá ser acompanhado de relatório técnico, laudo pericial e/ou estudo independente que efetivamente demonstre o impacto da ocorrência, na forma estabelecida nas subcláusulas anteriores, contemplando ainda dados como a data da ocorrência e a provável duração da hipótese ensejadora da recomposição;</w:t>
      </w:r>
    </w:p>
    <w:p>
      <w:pPr>
        <w:pStyle w:val="Normal"/>
        <w:pBdr/>
        <w:spacing w:lineRule="auto" w:line="319"/>
        <w:ind w:left="93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8"/>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 pedido deverá ser acompanhado de todos os documentos necessários à demonstração do cabimento do pleito, podendo o PODER CONCEDENTE, se necessário, solicitar laudos econômicos específicos ou estudos da CONCESSIONÁRIA ou estudos elaborados por órgãos ou entidades da Administração Pública Municipal ou, ainda, por entidades independentes; e</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8"/>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 pedido, conforme o caso, deverá conter a indicação da pretensão de recomposição do equilíbrio econômico-financeiro numa das formas indicadas neste CONTRATO, trazendo a demonstração circunstanciada dos pressupostos e parâmetros utilizados e informando os impactos e as eventuais alternativas de balanceamento das prestações entre as PARTES.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 PODER CONCEDENTE terá livre acesso a informações, bens e instalações da CONCESSIONÁRIA ou de terceiros por ela contratados para aferir os dados e informações alegados no pedido de recomposição do equilíbrio econômico-financeiro apresentado.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 recomposição do equilíbrio econômico-financeiro será realizada de forma que seja nulo o valor presente líquido do fluxo de caixa marginal projetado em razão do evento que ensejou a recomposição.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Para fins de determinação do fluxo de caixa marginal, deverão ser utilizadas as melhores informações disponíveis e atualizadas para se estimar o valor dos investimentos, dos custos e das despesas, bem como eventuais receitas e outros ganhos resultantes do evento de desequilíbrio, tomando-se por base as melhores referências de preço do setor público e/ou do setor privado disponíveis no momento do pleito, incluindo-se valores praticados em CONTRATOS pretéritos celebrados pelo PODER CONCEDENTE ou por outras empresas, levantamentos de mercado e publicações específicas sobre preços de itens e insumos utilizados em cada caso, e, na indisponibilidade de informações mais atuais, das projeções realizadas por ocasião da LICITAÇÃO.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 recomposição do equilíbrio econômico-financeiro do CONTRATO será realizada considerando, na mesma data-base, (i) os fluxos de caixa marginais resultantes do evento que deu origem à recomposição, (ii) os fluxos marginais necessários para a recomposição do equilíbrio econômico-financeiro, mediante aplicação da seguinte fórmula para a taxa de desconto:</w:t>
      </w:r>
    </w:p>
    <w:p>
      <w:pPr>
        <w:pStyle w:val="Normal"/>
        <w:widowControl w:val="false"/>
        <w:tabs>
          <w:tab w:val="clear" w:pos="720"/>
          <w:tab w:val="left" w:pos="567" w:leader="none"/>
        </w:tabs>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tabs>
          <w:tab w:val="clear" w:pos="720"/>
          <w:tab w:val="left" w:pos="567" w:leader="none"/>
        </w:tabs>
        <w:spacing w:lineRule="auto" w:line="36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TD = TR*</w:t>
      </w:r>
      <w:r>
        <w:rPr>
          <w:rFonts w:cs="Times New Roman" w:ascii="Times New Roman" w:hAnsi="Times New Roman"/>
          <w:sz w:val="24"/>
          <w:szCs w:val="24"/>
        </w:rPr>
        <w:t>1,7945</w:t>
      </w:r>
    </w:p>
    <w:p>
      <w:pPr>
        <w:pStyle w:val="Normal"/>
        <w:widowControl w:val="false"/>
        <w:tabs>
          <w:tab w:val="clear" w:pos="720"/>
          <w:tab w:val="left" w:pos="567" w:leader="none"/>
        </w:tabs>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tabs>
          <w:tab w:val="clear" w:pos="720"/>
          <w:tab w:val="left" w:pos="567" w:leader="none"/>
        </w:tabs>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Em que:</w:t>
      </w:r>
    </w:p>
    <w:p>
      <w:pPr>
        <w:pStyle w:val="Normal"/>
        <w:widowControl w:val="false"/>
        <w:tabs>
          <w:tab w:val="clear" w:pos="720"/>
          <w:tab w:val="left" w:pos="567" w:leader="none"/>
        </w:tabs>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tabs>
          <w:tab w:val="clear" w:pos="720"/>
          <w:tab w:val="left" w:pos="567" w:leader="none"/>
        </w:tabs>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TD: Taxa de desconto real anual, ou seja, sem considerar a parcela relacionada à variação do IPCA/IBGE, a ser utilizada no cálculo do valor presente dos fluxos de caixa marginais;</w:t>
      </w:r>
    </w:p>
    <w:p>
      <w:pPr>
        <w:pStyle w:val="Normal"/>
        <w:widowControl w:val="false"/>
        <w:tabs>
          <w:tab w:val="clear" w:pos="720"/>
          <w:tab w:val="left" w:pos="567" w:leader="none"/>
        </w:tabs>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TR: Taxa de rendimento anual composta pela média diária dos últimos 12 (doze) meses da taxa bruta de juros de venda do título “Tesouro IPCA+ com Juros Semestrais 2035” (antigas Notas do Tesouro Nacional Série B – NTN-B), ex ante a dedução do Imposto de Renda, com vencimento em 15/05/2035, publicada pela Secretaria do Tesouro Nacional, apurada na data do efetivo impacto do evento de desequilíbrio no fluxo de caixa da CONCESSIONÁRIA, sem considerar a parcela relacionada à variação do IPCA/IBGE;</w:t>
      </w:r>
      <w:r>
        <w:rPr>
          <w:rFonts w:cs="Times New Roman" w:ascii="Times New Roman" w:hAnsi="Times New Roman"/>
          <w:sz w:val="24"/>
          <w:szCs w:val="24"/>
        </w:rPr>
        <w:t>.</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recomposição do equilíbrio econômico-financeiro poderá ser realizada anterior ou posteriormente ao efetivo impacto do evento que der razão à situação de desequilíbrio, sendo, para tanto, calculado o valor presente líquido do fluxo de caixa marginal, conforme a subcláusula anterior.</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Para eventos de desequilíbrio já ocorridos, a metodologia de apuração deverá levar em conta os valores dos indicadores de interesse no momento do efetivo impacto do evento de desequilíbrio no fluxo de caixa da CONCESSIONÁRIA, sendo calculada sempre em termos reais, descontada a inflação.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Para eventos de desequilíbrio futuros, a metodologia de apuração deverá levar em conta os valores dos indicadores de interesse no momento da própria apuração, projetando os impactos do evento de desequilíbrio no fluxo de caixa da CONCESSIONÁRIA sempre em termos reais, descontada a inflação.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 procedimento de recomposição do equilíbrio econômico-financeiro deste CONTRATO deverá ser concluído em prazo não superior a 60 (sessenta) dias, ressalvada a hipótese em que seja necessária a prorrogação, devidamente justificada, para a complementação da instrução do respectivo procedimento.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Decorridos 60 (sessenta) dias da apresentação do pedido de reequilíbrio econômico-financeiro por requerimento da CONCESSIONÁRIA e não sendo encontrada solução amigável, ou ainda em caso de discordância quanto à necessidade de recomposição ou quanto aos valores e/ou demais dados indicados, as PARTES deverão recorrer aos meios de solução dispostos na Cláusula 27 deste CONTRATO.</w:t>
      </w:r>
    </w:p>
    <w:p>
      <w:pPr>
        <w:pStyle w:val="Normal"/>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bookmarkStart w:id="55" w:name="_heading=h.3o7alnk"/>
      <w:bookmarkStart w:id="56" w:name="_heading=h.2p2csry"/>
      <w:bookmarkStart w:id="57" w:name="_heading=h.3o7alnk"/>
      <w:bookmarkStart w:id="58" w:name="_heading=h.2p2csry"/>
      <w:bookmarkEnd w:id="57"/>
      <w:bookmarkEnd w:id="58"/>
    </w:p>
    <w:p>
      <w:pPr>
        <w:pStyle w:val="Heading1"/>
        <w:numPr>
          <w:ilvl w:val="0"/>
          <w:numId w:val="9"/>
        </w:numPr>
        <w:spacing w:lineRule="auto" w:line="319" w:before="0" w:after="0"/>
        <w:jc w:val="both"/>
        <w:rPr>
          <w:rFonts w:ascii="Times New Roman" w:hAnsi="Times New Roman" w:eastAsia="Times New Roman" w:cs="Times New Roman"/>
          <w:sz w:val="24"/>
          <w:szCs w:val="24"/>
        </w:rPr>
      </w:pPr>
      <w:bookmarkStart w:id="59" w:name="_heading=h.3o7alnk"/>
      <w:bookmarkStart w:id="60" w:name="_Toc194916564"/>
      <w:bookmarkEnd w:id="59"/>
      <w:sdt>
        <w:sdtPr>
          <w:tag w:val="goog_rdk_51"/>
          <w:id w:val="-1500108149"/>
          <w:showingPlcHdr/>
        </w:sdtPr>
        <w:sdtContent>
          <w:r>
            <w:rPr/>
          </w:r>
          <w:r>
            <w:rPr/>
            <w:t xml:space="preserve">     </w:t>
          </w:r>
        </w:sdtContent>
      </w:sdt>
      <w:r>
        <w:rPr>
          <w:rFonts w:eastAsia="Times New Roman" w:cs="Times New Roman" w:ascii="Times New Roman" w:hAnsi="Times New Roman"/>
          <w:b/>
          <w:color w:val="000000"/>
          <w:sz w:val="24"/>
          <w:szCs w:val="24"/>
        </w:rPr>
        <w:t>SANÇÕES ADMINISTRATIVAS E CONTRATUAIS</w:t>
      </w:r>
      <w:bookmarkEnd w:id="60"/>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A(s) CONCESSIONÁRIA(s) que cometer(em) qualquer conduta que infrinja as condições e prazos estabelecidos no instrumento, em contrato ou na legislação atinente à execução do objeto ficará sujeita, sem prejuízo da responsabilidade civil e criminal, conforme disposto na Lei n.º 14.133/21, na Lei Federal n.º 8.987/95 e na Lei Complementar Municipal n.º 670/2021, às sanções a seguir estabelecidas, aplicáveis após regular Processo Administrativo de Penalização de fornecedor em conformidade com o </w:t>
      </w:r>
      <w:r>
        <w:rPr>
          <w:rFonts w:cs="Times New Roman" w:ascii="Times New Roman" w:hAnsi="Times New Roman"/>
        </w:rPr>
        <w:t>Decreto Municipal n.º 24.134, de 19 de março de 2026</w:t>
      </w:r>
      <w:r>
        <w:rPr>
          <w:rFonts w:eastAsia="Times New Roman" w:cs="Times New Roman" w:ascii="Times New Roman" w:hAnsi="Times New Roman"/>
          <w:color w:val="000000"/>
          <w:sz w:val="24"/>
          <w:szCs w:val="24"/>
        </w:rPr>
        <w:t xml:space="preserve"> e alterações: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ADVERTÊNCIA ESCRITA em razão de falhas que não caibam a aplicação de sanção mais grave em virtude de serem corrigidas no prazo estipulado pela fiscalização.</w:t>
      </w:r>
    </w:p>
    <w:p>
      <w:pPr>
        <w:pStyle w:val="Normal"/>
        <w:pBdr/>
        <w:spacing w:lineRule="auto" w:line="319"/>
        <w:ind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MULTA por descumprimento de prazos e condições ajustados, aplicadas em quantidade de VRMs (Valor de Referência Municipal) obedecido o mínimo de 500 (quinhentos) VRMs até o máximo 5.000 (cinco mil) VRMs.</w:t>
      </w:r>
    </w:p>
    <w:p>
      <w:pPr>
        <w:pStyle w:val="Normal"/>
        <w:pBdr/>
        <w:spacing w:lineRule="auto" w:line="319"/>
        <w:ind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multa deverá ser paga no prazo de 15 (quinze) dias da sua notificação ou da ciência formal do indeferimento do recurso.</w:t>
      </w:r>
    </w:p>
    <w:p>
      <w:pPr>
        <w:pStyle w:val="Normal"/>
        <w:pBdr/>
        <w:spacing w:lineRule="auto" w:line="319"/>
        <w:ind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realização de serviços funerários no Município por empresa não CONCESSIONÁRIA do serviço, acarretará em sanções para a entidade responsável pelo espaço utilizado, nos seguintes termos: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1276"/>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multa no valor de 100 (cem) VRM's; e</w:t>
      </w:r>
    </w:p>
    <w:p>
      <w:pPr>
        <w:pStyle w:val="Normal"/>
        <w:pBdr/>
        <w:spacing w:lineRule="auto" w:line="319"/>
        <w:ind w:left="1276"/>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1276"/>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b) na reincidência, suspensão da autorização para realização de velórios por 1 (um) ano.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Em caso de reincidência, no mesmo fato, a penalidade de multa será acrescida de 30% (trinta por cento) do valor anteriormente aplicado.</w:t>
      </w:r>
    </w:p>
    <w:p>
      <w:pPr>
        <w:pStyle w:val="Normal"/>
        <w:pBdr/>
        <w:spacing w:lineRule="auto" w:line="319"/>
        <w:ind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IMPEDIMENTO DE LICITAR E CONTRATAR com a Administração Municipal pelo prazo de até 3 (três) anos, bem como demais cominações legais, quando a licitante:</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ensejar o retardamento da execução ou da entrega do objeto da contratação sem motivo justificado;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b) dar causa à inexecução total ou parcial do objeto;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c) dar causa à inexecução parcial do contrato que cause grave dano à Administração, ao funcionamento dos serviços públicos ou ao interesse coletivo;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d) deixar de entregar a documentação exigida para o certame;</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e) não manter a proposta, salvo em decorrência de fato superveniente devidamente justificado;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f) não celebrar o contrato ou não entregar a documentação exigida para a contratação, quando convocado dentro do prazo de validade de sua proposta.</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IMPEDIMENTO DE LICITAR E CONTRATAR com a Administração Pública direta e indireta de todos os entes federativos, </w:t>
      </w:r>
      <w:bookmarkStart w:id="61" w:name="_GoBack"/>
      <w:bookmarkEnd w:id="61"/>
      <w:r>
        <w:rPr>
          <w:rFonts w:eastAsia="Times New Roman" w:cs="Times New Roman" w:ascii="Times New Roman" w:hAnsi="Times New Roman"/>
          <w:color w:val="000000"/>
          <w:sz w:val="24"/>
          <w:szCs w:val="24"/>
        </w:rPr>
        <w:t>pelo prazo de até 6 (seis) anos, bem como demais cominações legais, quando a licitante:</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apresentar declaração ou documentação falsa exigida para o certame ou prestar declaração falsa durante o procedimento ou a execução do contrato;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b) fraudar a contratação ou praticar ato fraudulento na execução do contrato;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c) comportar-se de modo inidôneo ou cometer fraude de qualquer natureza;</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d) praticar atos ilícitos com vistas a frustrar os objetivos da contratação;</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e) praticar ato lesivo previsto no art. 5.º da Lei n.º 12.846, de 1.º de agosto de 2013.</w:t>
      </w:r>
    </w:p>
    <w:p>
      <w:pPr>
        <w:pStyle w:val="Normal"/>
        <w:pBdr/>
        <w:spacing w:lineRule="auto" w:line="319"/>
        <w:ind w:left="567"/>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DECLARAÇÃO DE INIDONEIDADE enquanto perdurarem os motivos determinantes da punição ou até que seja promovida a reabilitação perante a própria autoridade que aplicou a penalidade, que será concedida sempre que a executora ressarcir o CONCEDENTE pelos prejuízos causados e após decorrido o prazo da penalidade de suspensão do subitem anterior.</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Será facultada à(s) CONCESSIONÁRIA(s), nos termos da lei, apresentação de defesa prévia, na ocorrência de quaisquer das situações previstas neste CONTRATO: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notificação da(s) CONCESSIONÁRIA(s) pelo titular da Secretaria do Meio Ambiente e Sustentabilidade, para apresentar defesa prévia, querendo, no prazo de 20 (vinte) dias consecutivos a contar do seu recebimento;</w:t>
      </w:r>
    </w:p>
    <w:p>
      <w:pPr>
        <w:pStyle w:val="Normal"/>
        <w:pBdr/>
        <w:spacing w:lineRule="auto" w:line="319"/>
        <w:ind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do indeferimento da defesa prévia caberá recurso ao Prefeito, no prazo de 20 (vinte) dias consecutivos, contados da ciência da decisão pelo correio com aviso de recebimento;</w:t>
      </w:r>
    </w:p>
    <w:p>
      <w:pPr>
        <w:pStyle w:val="Normal"/>
        <w:pBdr/>
        <w:spacing w:lineRule="auto" w:line="319"/>
        <w:ind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decisão prolatada deverá ser justificada, referindo-se e dimensionando a gravidade da infração, circunstâncias agravantes ou atenuantes, se existirem, bem como os antecedentes do infrator com relação a esta lei e as disposições do contrato.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As multas e seu pagamento não eximirão a(s) CONCESSIONÁRIA(s) de ser(em) acionada(s) judicialmente pela responsabilidade civil derivada de perdas e danos, decorrentes das infrações cometidas.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Caso a multa não seja quitada em até 15 (quinze) dias contados da emissão da DARM, estará sujeita à atualização monetária com base no Índice Nacional de Preços ao Consumidor Amplo (IPCA), ou outro índice que vier a sucedê-lo, e juros de mora. </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A(s) CONCESSIONÁRIA(s) que recusarem-se a assinar o contrato ou não devolvê-lo devidamente assinado, ficará suspensa de participar de qualquer processo licitatório realizado pelo CONCEDENTE, pelo período de 02 (dois) anos da data da notificação, e sujeita a aplicação de uma multa duas vezes o valor da outorga mínima, sem prejuízo de outras sanções previstas na Lei de Licitações.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Quando o prejuízo causado pela(s) CONCESSIONÁRIA(s) exceder ao previsto na cláusula penal, poderá a Administração exigir indenização suplementar, valendo a cláusula penal como mínimo da indenização, nos termos do Código Civil.</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personalidade jurídica da(s) CONCESSIONÁRIA(s) poderá ser desconsiderada sempre que utilizada com abuso de direito para facilitar, encobrir ou dissimular a prática de atos ilícitos previstos na Lei Federal nº 12.846/2013, ou para provocar confusão patrimonial, sendo estendidos todos os efeitos das sanções aplicadas à pessoa jurídica aos seus administradores e sócios com poderes de administração, observados o contraditório e ampla defesa.</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b/>
          <w:color w:val="000000"/>
          <w:sz w:val="24"/>
          <w:szCs w:val="24"/>
        </w:rPr>
      </w:pPr>
      <w:bookmarkStart w:id="62" w:name="_Toc194916565"/>
      <w:r>
        <w:rPr>
          <w:rFonts w:eastAsia="Times New Roman" w:cs="Times New Roman" w:ascii="Times New Roman" w:hAnsi="Times New Roman"/>
          <w:b/>
          <w:color w:val="000000"/>
          <w:sz w:val="24"/>
          <w:szCs w:val="24"/>
        </w:rPr>
        <w:t>DO PROCEDIMENTO DE APLICAÇÃO DE PENALIDADES</w:t>
      </w:r>
      <w:bookmarkEnd w:id="62"/>
    </w:p>
    <w:p>
      <w:pPr>
        <w:pStyle w:val="Normal"/>
        <w:rPr/>
      </w:pPr>
      <w:r>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O PODER CONCEDENTE notificará a CONCESSIONÁRIA, de forma fundamentada, sobre a irregularidade no cumprimento das obrigações contratuais para fins de correção, no prazo fixado, sob pena de aplicação das sanções previstas neste CONTRATO.</w:t>
      </w:r>
      <w:r>
        <w:rPr/>
        <w:t xml:space="preserve"> </w:t>
      </w:r>
    </w:p>
    <w:p>
      <w:pPr>
        <w:pStyle w:val="Normal"/>
        <w:pBdr/>
        <w:spacing w:lineRule="auto" w:line="319"/>
        <w:jc w:val="both"/>
        <w:rPr/>
      </w:pPr>
      <w:r>
        <w:rPr/>
      </w:r>
    </w:p>
    <w:p>
      <w:pPr>
        <w:pStyle w:val="Normal"/>
        <w:numPr>
          <w:ilvl w:val="2"/>
          <w:numId w:val="9"/>
        </w:numPr>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Fica facultada a apresentação de defesa prévia pela CONCESSIONARIA, no prazo de 15 (quinze) dias úteis a contar da notificação, à exceção da declaração de inidoneidade para licitar ou contratar com a Administração Pública, cujo prazo para defesa será de 15 (quinze) dias úteis da intimação no processo de responsabilização, conforme disposto nos artigos 157 e 158 da LEI DE LICITAÇÕES. </w:t>
      </w:r>
    </w:p>
    <w:p>
      <w:pPr>
        <w:pStyle w:val="Normal"/>
        <w:pBdr/>
        <w:spacing w:lineRule="auto" w:line="319"/>
        <w:ind w:left="128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No prazo assinalado para defesa prévia, a CONCESSIONÁRIA poderá providenciar diligência e análises técnicas e apresentar documentos a respeito da matéria objeto do processo. </w:t>
      </w:r>
    </w:p>
    <w:p>
      <w:pPr>
        <w:pStyle w:val="Normal"/>
        <w:pBdr/>
        <w:spacing w:before="0" w:after="160"/>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A notificação, aplicação ou cumprimento de sanção não eximem a CONCESSIONÁRIA de corrigir a falta correspondente. </w:t>
      </w:r>
    </w:p>
    <w:p>
      <w:pPr>
        <w:pStyle w:val="Normal"/>
        <w:pBdr/>
        <w:spacing w:lineRule="auto" w:line="319"/>
        <w:jc w:val="both"/>
        <w:rPr/>
      </w:pPr>
      <w:r>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Da decisão de aplicação de sanção caberá recurso, no prazo de 15 (quinze) dias úteis a contar da data da intimação, à exceção da declaração de inidoneidade para licitar ou contratar com a Administração Pública, da qual caberá pedido de reconsideração à autoridade superior hierárquica do PODER CONCEDENTE também no prazo de 15 (quinze) dias úteis da intimação do ato, nos termos do disposto nos artigos 166 e 167 da LEI DE LICITAÇÕES. </w:t>
      </w:r>
    </w:p>
    <w:p>
      <w:pPr>
        <w:pStyle w:val="Normal"/>
        <w:pBdr/>
        <w:spacing w:lineRule="auto" w:line="319"/>
        <w:jc w:val="both"/>
        <w:rPr/>
      </w:pPr>
      <w:r>
        <w:rPr/>
      </w:r>
    </w:p>
    <w:p>
      <w:pPr>
        <w:pStyle w:val="Normal"/>
        <w:numPr>
          <w:ilvl w:val="2"/>
          <w:numId w:val="9"/>
        </w:numPr>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O recurso será dirigido à autoridade superior, por intermédio da que praticou o ato recorrido a qual poderá reconsiderar sua decisão, no prazo de 5 (cinco) dias úteis, ou, nesse mesmo prazo, fazê-lo subir, devidamente informados, devendo, neste caso, a decisão ser proferida dentro do prazo de 20 (vinte) dias úteis, contados do recebimento da peça recursal. </w:t>
      </w:r>
    </w:p>
    <w:p>
      <w:pPr>
        <w:pStyle w:val="Normal"/>
        <w:pBdr/>
        <w:spacing w:lineRule="auto" w:line="319"/>
        <w:jc w:val="both"/>
        <w:rPr/>
      </w:pPr>
      <w:r>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Em qualquer procedimento sancionatório previsto nesta Cláusula, caso a CONCESSIONÁRIA opte por reconhecer o cometimento da infração até o término do seu primeiro prazo para manifestação e não apresentar defesa prévia, poderá efetuar o pagamento da multa com desconto de 40% (quarenta por cento) do seu valor. </w:t>
      </w:r>
    </w:p>
    <w:p>
      <w:pPr>
        <w:pStyle w:val="Normal"/>
        <w:pBdr/>
        <w:spacing w:lineRule="auto" w:line="319"/>
        <w:jc w:val="both"/>
        <w:rPr/>
      </w:pPr>
      <w:r>
        <w:rPr/>
      </w:r>
    </w:p>
    <w:p>
      <w:pPr>
        <w:pStyle w:val="Normal"/>
        <w:numPr>
          <w:ilvl w:val="2"/>
          <w:numId w:val="9"/>
        </w:numPr>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Caso a CONCESSIONÁRIA opte por reconhecer o cometimento da infração até o término do prazo para o oferecimento de recurso administrativo e não apresentar recurso, poderá efetuar o pagamento da multa com desconto de 15% (quinze por cento) do seu valor. </w:t>
      </w:r>
    </w:p>
    <w:p>
      <w:pPr>
        <w:pStyle w:val="Normal"/>
        <w:pBdr/>
        <w:spacing w:lineRule="auto" w:line="319"/>
        <w:jc w:val="both"/>
        <w:rPr/>
      </w:pPr>
      <w:r>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As multas deverão ser recolhidas no prazo de 03 (três) dias úteis, a contar da publicação da decisão final no DOE. </w:t>
      </w:r>
    </w:p>
    <w:p>
      <w:pPr>
        <w:pStyle w:val="Normal"/>
        <w:pBdr/>
        <w:spacing w:lineRule="auto" w:line="319"/>
        <w:jc w:val="both"/>
        <w:rPr/>
      </w:pPr>
      <w:r>
        <w:rPr/>
      </w:r>
    </w:p>
    <w:p>
      <w:pPr>
        <w:pStyle w:val="Normal"/>
        <w:numPr>
          <w:ilvl w:val="2"/>
          <w:numId w:val="9"/>
        </w:numPr>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Se no prazo indicado pela subcláusula acima não for realizado o pagamento, terá aplicação automática de juros da mora.</w:t>
      </w:r>
    </w:p>
    <w:p>
      <w:pPr>
        <w:pStyle w:val="Normal"/>
        <w:pBdr/>
        <w:spacing w:lineRule="auto" w:line="319"/>
        <w:jc w:val="both"/>
        <w:rPr/>
      </w:pPr>
      <w:r>
        <w:rPr/>
      </w:r>
    </w:p>
    <w:p>
      <w:pPr>
        <w:pStyle w:val="Heading1"/>
        <w:numPr>
          <w:ilvl w:val="0"/>
          <w:numId w:val="9"/>
        </w:numPr>
        <w:spacing w:lineRule="auto" w:line="319" w:before="0" w:after="0"/>
        <w:jc w:val="both"/>
        <w:rPr>
          <w:rFonts w:ascii="Times New Roman" w:hAnsi="Times New Roman" w:eastAsia="Times New Roman" w:cs="Times New Roman"/>
          <w:color w:val="auto"/>
          <w:sz w:val="24"/>
          <w:szCs w:val="24"/>
        </w:rPr>
      </w:pPr>
      <w:bookmarkStart w:id="63" w:name="_Toc194916566"/>
      <w:r>
        <w:rPr>
          <w:rFonts w:eastAsia="Times New Roman" w:cs="Times New Roman" w:ascii="Times New Roman" w:hAnsi="Times New Roman"/>
          <w:b/>
          <w:color w:val="auto"/>
          <w:sz w:val="24"/>
          <w:szCs w:val="24"/>
        </w:rPr>
        <w:t>EXTINÇÃO DO CONTRATO</w:t>
      </w:r>
      <w:bookmarkEnd w:id="63"/>
    </w:p>
    <w:p>
      <w:pPr>
        <w:pStyle w:val="Normal"/>
        <w:pBdr/>
        <w:spacing w:lineRule="auto" w:line="319"/>
        <w:ind w:left="36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CONCESSÃO se extinguirá por:</w:t>
      </w:r>
    </w:p>
    <w:p>
      <w:pPr>
        <w:pStyle w:val="Normal"/>
        <w:pBdr/>
        <w:spacing w:lineRule="auto" w:line="319"/>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Advento do termo contratual;</w:t>
      </w:r>
    </w:p>
    <w:p>
      <w:pPr>
        <w:pStyle w:val="Normal"/>
        <w:pBdr/>
        <w:spacing w:lineRule="auto" w:line="319"/>
        <w:ind w:left="122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Caducidade;</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Rescisão;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Anulação;</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Ocorrência de CASO FORTUITO ou FORÇA MAIOR, regularmente comprovada, que impeça ou inviabilize a execução do CONTRATO; ou</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2"/>
          <w:numId w:val="9"/>
        </w:numPr>
        <w:pBdr/>
        <w:spacing w:lineRule="auto" w:line="319"/>
        <w:ind w:hanging="720" w:left="1288"/>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Extinção amigável.</w:t>
      </w:r>
    </w:p>
    <w:p>
      <w:pPr>
        <w:pStyle w:val="Normal"/>
        <w:pBdr/>
        <w:spacing w:lineRule="auto" w:line="319"/>
        <w:ind w:left="36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Em qualquer hipótese de extinção do CONTRATO, o PODER CONCEDENTE assumirá, direta ou indiretamente e de maneira imediata, para garantir sua continuidade e regularidade.</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sz w:val="24"/>
          <w:szCs w:val="24"/>
        </w:rPr>
      </w:pPr>
      <w:bookmarkStart w:id="64" w:name="_Toc194916567"/>
      <w:bookmarkStart w:id="65" w:name="_heading=h.ihv636"/>
      <w:bookmarkEnd w:id="65"/>
      <w:r>
        <w:rPr>
          <w:rFonts w:eastAsia="Times New Roman" w:cs="Times New Roman" w:ascii="Times New Roman" w:hAnsi="Times New Roman"/>
          <w:b/>
          <w:color w:val="000000"/>
          <w:sz w:val="24"/>
          <w:szCs w:val="24"/>
        </w:rPr>
        <w:t>ADVENTO DO TERMO CONTRATUAL</w:t>
      </w:r>
      <w:bookmarkEnd w:id="64"/>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CONCESSÃO extingue-se quando se verificar o término do prazo de sua duração, também se extinguindo, por consequência, as relações contratuais entre as PARTES.</w:t>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Quando do advento do termo contratual, e ressalvadas as hipóteses expressamente previstas neste CONTRATO, a CONCESSIONÁRIA será responsável pelo encerramento de quaisquer contratos inerentes à CONCESSÃO e celebrados com terceiros, segundo as regras para o cálculo e o pagamento de valores residuais, nos termos da legislação vigente, assumindo todos os ônus daí resultantes.</w:t>
      </w:r>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sz w:val="24"/>
          <w:szCs w:val="24"/>
        </w:rPr>
      </w:pPr>
      <w:bookmarkStart w:id="66" w:name="_Toc194916568"/>
      <w:bookmarkStart w:id="67" w:name="_heading=h.1hmsyys"/>
      <w:bookmarkStart w:id="68" w:name="_heading=h.32hioqz"/>
      <w:bookmarkEnd w:id="67"/>
      <w:bookmarkEnd w:id="68"/>
      <w:r>
        <w:rPr>
          <w:rFonts w:eastAsia="Times New Roman" w:cs="Times New Roman" w:ascii="Times New Roman" w:hAnsi="Times New Roman"/>
          <w:b/>
          <w:color w:val="000000"/>
          <w:sz w:val="24"/>
          <w:szCs w:val="24"/>
        </w:rPr>
        <w:t>DA CADUCIDADE</w:t>
      </w:r>
      <w:bookmarkEnd w:id="66"/>
    </w:p>
    <w:p>
      <w:pPr>
        <w:pStyle w:val="Normal"/>
        <w:pBdr/>
        <w:spacing w:lineRule="auto" w:line="319"/>
        <w:ind w:left="36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Além dos casos enumerados pela Lei Federal n° 8.987/1995 e dos demais casos previstos neste CONTRATO, e sem prejuízo da aplicação das demais penalidades cabíveis, o PODER CONCEDENTE poderá promover a decretação da caducidade da CONCESSÃO nas seguintes hipóteses:</w:t>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5"/>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quando os SERVIÇOS estiverem sendo prestados de forma inadequada ou deficiente, tendo por base as normas, critérios e demais parâmetros definidos no CONTRATO e seus ANEXOS;</w:t>
      </w:r>
    </w:p>
    <w:p>
      <w:pPr>
        <w:pStyle w:val="Normal"/>
        <w:pBdr/>
        <w:spacing w:lineRule="auto" w:line="319"/>
        <w:ind w:left="93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5"/>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quando a CONCESSIONÁRIA descumprir reiteradamente cláusulas contratuais ou disposições legais ou regulamentares concernentes à CONCESSÃO;</w:t>
      </w:r>
    </w:p>
    <w:p>
      <w:pPr>
        <w:pStyle w:val="Normal"/>
        <w:pBdr/>
        <w:spacing w:lineRule="auto" w:line="319"/>
        <w:ind w:left="93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5"/>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quando a CONCESSIONÁRIA, imotivadamente, paralisar os SERVIÇOS ou concorrer para tanto;</w:t>
      </w:r>
    </w:p>
    <w:p>
      <w:pPr>
        <w:pStyle w:val="Normal"/>
        <w:pBdr/>
        <w:spacing w:lineRule="auto" w:line="319"/>
        <w:ind w:left="93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5"/>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quando a CONCESSIONÁRIA perder as condições econômicas, técnicas ou operacionais para manter a adequada prestação dos SERVIÇOS;</w:t>
      </w:r>
    </w:p>
    <w:p>
      <w:pPr>
        <w:pStyle w:val="Normal"/>
        <w:pBdr/>
        <w:spacing w:lineRule="auto" w:line="319"/>
        <w:ind w:left="93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5"/>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quando a CONCESSIONÁRIA não cumprir tempestivamente as penalidades a ela impostas pelo PODER CONCEDENTE, inclusive o pagamento de multas, em virtude do cometimento das infrações previstas neste CONTRATO;</w:t>
      </w:r>
    </w:p>
    <w:p>
      <w:pPr>
        <w:pStyle w:val="Normal"/>
        <w:pBdr/>
        <w:spacing w:lineRule="auto" w:line="319"/>
        <w:ind w:left="93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5"/>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quando a CONCESSIONÁRIA não atender à intimação do PODER CONCEDENTE no sentido de regularizar a prestação dos SERVIÇOS;</w:t>
      </w:r>
    </w:p>
    <w:p>
      <w:pPr>
        <w:pStyle w:val="Normal"/>
        <w:pBdr/>
        <w:spacing w:lineRule="auto" w:line="319"/>
        <w:ind w:left="93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5"/>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quando a CONCESSIONÁRIA descumprir a obrigação de contratar e manter em plena vigência as apólices de seguros;</w:t>
      </w:r>
    </w:p>
    <w:p>
      <w:pPr>
        <w:pStyle w:val="Normal"/>
        <w:pBdr/>
        <w:spacing w:lineRule="auto" w:line="319"/>
        <w:ind w:left="93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5"/>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quando ocorrer a transferência do controle societário da CONCESSIONÁRIA, sem a prévia anuência do PODER CONCEDENTE;</w:t>
      </w:r>
    </w:p>
    <w:p>
      <w:pPr>
        <w:pStyle w:val="Normal"/>
        <w:pBdr/>
        <w:spacing w:lineRule="auto" w:line="319"/>
        <w:ind w:left="93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5"/>
        </w:numPr>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quando a CONCESSIONÁRIA não atender à intimação do PODER CONCEDENTE para, em 180 (cento e oitenta) dias, apresentar documentação relativa à regularidade fiscal, no curso da CONCESSÃO.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declaração da caducidade da CONCESSÃO deverá ser de processo administrativo, assegurado o direito do contraditório e a ampla defesa.</w:t>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Não será instaurado processo administrativo de inadimplência antes de comunicado à CONCESSIONÁRIA demonstrando detalhadamente os descumprimentos contratuais e oferecendo-lhe prazo para corrigir as falhas e transgressões apontadas e para o reenquadramento, nos termos contratuais.</w:t>
      </w:r>
    </w:p>
    <w:p>
      <w:pPr>
        <w:pStyle w:val="Normal"/>
        <w:pBdr/>
        <w:spacing w:before="0" w:after="160"/>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Instaurado o processo administrativo e comprovada a inadimplência, a caducidade será declarada por decreto do PODER CONCEDENTE, independentemente de indenização prévia, calculada no decurso do processo.</w:t>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Declarada a caducidade e paga a respectiva indenização, não resultará para o PODER CONCEDENTE qualquer espécie de responsabilidade em relação aos encargos, ônus, obrigações ou compromissos com terceiros ou com empregados da CONCESSIONÁRIA.</w:t>
      </w:r>
    </w:p>
    <w:p>
      <w:pPr>
        <w:pStyle w:val="Normal"/>
        <w:pBdr/>
        <w:spacing w:lineRule="auto" w:line="319"/>
        <w:ind w:left="574"/>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b/>
          <w:color w:val="000000"/>
          <w:sz w:val="24"/>
          <w:szCs w:val="24"/>
        </w:rPr>
      </w:pPr>
      <w:bookmarkStart w:id="69" w:name="_Toc194916569"/>
      <w:bookmarkStart w:id="70" w:name="_heading=h.41mghml"/>
      <w:bookmarkEnd w:id="70"/>
      <w:r>
        <w:rPr>
          <w:rFonts w:eastAsia="Times New Roman" w:cs="Times New Roman" w:ascii="Times New Roman" w:hAnsi="Times New Roman"/>
          <w:b/>
          <w:color w:val="000000"/>
          <w:sz w:val="24"/>
          <w:szCs w:val="24"/>
        </w:rPr>
        <w:t>DA RESCISÃO, INTERVENÇÃO, REVOGAÇÃO E EXTINÇÃO DA CONCESSÃO</w:t>
      </w:r>
      <w:bookmarkEnd w:id="69"/>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Aplicam-se todas as disposições previstas na Lei Federal nº 8.987/95, quanto ao encerramento do contrato de concessão, rescisão, extinção ou intervenção dos serviços prestados.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Independentemente das penalidades pecuniárias impostas à(s) CONCESSIONÁRIA(s), a concessão poderá ser revogada a qualquer tempo, sem qualquer indenização, além das hipóteses previstas na Lei Complementar n.º 670, de 16 de dezembro de 2021, caso à(s) CONCESSIONÁRIA(s) incorra(m) nas seguintes situações:</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a) perda da capacidade financeira, técnica ou administrativa;</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b) paralisação dos serviços objeto da concessão;</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c) subcontratação, ressalvados os casos permitidos no ANEXO I – TERMO DE REFERÊNCIA, ou transferência da concessão a terceiros;</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d) descumprimento contumaz de qualquer cláusula do contrato e da Lei Complementar n.º 670, de 16 de dezembro de 2021;</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e) pela rescisão consensual ou judicial, ou por iniciativa unilateral do Poder Público Municipal;</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f) pela interrupção do serviço por mais de 02 (dois) dias consecutivos, salvo motivo de força maior, devidamente comprovado e aprovado pelo Poder Público Municipal;</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g) irregularidade sistemática na prestação do serviço quando da existência de notificações e autos de infração sem a adoção de medidas corretivas;</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h) pela reiterada desobediência à legislação e regulamentos pertinentes a prestação do serviço;</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i) pelo cometimento de fraudes ou irregularidades devidamente comprovadas em processo de sindicância;</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j) a captação direta ou indireta de clientes fora das dependências da empresa funerária por meio de oferta, venda, indução ou intermediação mediante assédio, constrangimento ou abordagem dos familiares do falecido; e</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k) realizar os serviços funerários sem a prévia autorização do CONCEDENTE.</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O falseamento ou omissão de informações prestadas ao órgão municipal competente configura crime de falsidade ideológica, sujeitando o seu autor às sanções penais devidas, sem prejuízo de outras de natureza diversa.</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Além das hipóteses legalmente previstas, a presente concessão poderá ser revogada nas seguintes hipóteses:</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a) pela alteração no objeto social ou a modificação da finalidade ou da estrutura da(s) CONCESSIONÁRIA(s), de forma que prejudiquem a execução do CONTRATO;</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b) pela inexecução total ou parcial das cláusulas e exigências previstas no ANEXO I – TERMO DE REFERÊNCIA que dá origem à concessão e as constantes do CONTRATO;</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Sem prejuízo das demais sanções aplicáveis, a critério do CONCEDENTE, a revogação por culpa da(s) CONCESSIONÁRIA(s) ainda importará em:</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a) aplicação de pena de suspensão do direito de licitar com o CONCEDENTE e com demais órgãos da administração direta e indireta do CONCEDENTE;</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b) declaração de inidoneidade quando a(s) CONCESSIONÁRIA(s), sem justa causa, não cumprir as obrigações assumidas, praticando falta grave, dolosa ou revestida de má-fé, a juízo do CONCEDENTE. A pena de inidoneidade será aplicada em despacho fundamentado, assegurado a defesa ao infrator, ponderada a natureza, a gravidade da falta e a extensão do dano, efetivo ou potencial.</w:t>
      </w:r>
    </w:p>
    <w:p>
      <w:pPr>
        <w:pStyle w:val="Normal"/>
        <w:pBdr/>
        <w:spacing w:lineRule="auto" w:line="319"/>
        <w:ind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rescisão, intervenção, revogação ou extinção do contrato de concessão, em qualquer caso, não proporcionará à(s) CONCESSIONÁRIA(s) direito à indenização ou reembolso por benfeitorias realizadas, bem como, não lhe dando direito a ressarcimento de quaisquer despesas que haja efetuado, sempre a título precário e em nome do CONCEDENTE, para todos os fins de direito.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O CONTRATO poderá ser rescindido por iniciativa da CONCESSIONÁRIA, no caso de descumprimento das normas contratuais pelo PODER CONCEDENTE, mediante ação judicial especialmente intentada para esse fim.</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Na hipótese prevista nesta Cláusula, os SERVIÇOS não poderão ser interrompidos ou paralisados, até a decisão judicial transitada em julgado.</w:t>
      </w:r>
    </w:p>
    <w:p>
      <w:pPr>
        <w:pStyle w:val="Normal"/>
        <w:pBdr/>
        <w:spacing w:before="0" w:after="160"/>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Heading1"/>
        <w:numPr>
          <w:ilvl w:val="0"/>
          <w:numId w:val="9"/>
        </w:numPr>
        <w:spacing w:lineRule="auto" w:line="319" w:before="0" w:after="0"/>
        <w:jc w:val="both"/>
        <w:rPr>
          <w:rFonts w:ascii="Times New Roman" w:hAnsi="Times New Roman" w:eastAsia="Times New Roman" w:cs="Times New Roman"/>
          <w:sz w:val="24"/>
          <w:szCs w:val="24"/>
        </w:rPr>
      </w:pPr>
      <w:bookmarkStart w:id="71" w:name="_Toc194916570"/>
      <w:bookmarkStart w:id="72" w:name="_heading=h.3fwokq0"/>
      <w:bookmarkStart w:id="73" w:name="_heading=h.vx1227"/>
      <w:bookmarkStart w:id="74" w:name="_heading=h.2grqrue"/>
      <w:bookmarkEnd w:id="72"/>
      <w:bookmarkEnd w:id="73"/>
      <w:bookmarkEnd w:id="74"/>
      <w:r>
        <w:rPr>
          <w:rFonts w:eastAsia="Times New Roman" w:cs="Times New Roman" w:ascii="Times New Roman" w:hAnsi="Times New Roman"/>
          <w:b/>
          <w:color w:val="000000"/>
          <w:sz w:val="24"/>
          <w:szCs w:val="24"/>
        </w:rPr>
        <w:t>SOLUÇÃO DE DIVERGÊNCIAS</w:t>
      </w:r>
      <w:bookmarkEnd w:id="71"/>
    </w:p>
    <w:p>
      <w:pPr>
        <w:pStyle w:val="Normal"/>
        <w:spacing w:lineRule="auto" w:line="319"/>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As PARTES deverão envidar os melhores esforços para resolver amigavelmente qualquer divergência ou conflito de interesse que venha a surgir em decorrência do presente CONTRATO, utilizando-se do princípio da boa-fé, por meio de negociação direta.</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 adoção dos procedimentos indicados acima não exonera as PARTES de dar seguimento e cumprimento às suas obrigações contratuais, sendo dever das PARTES assegurar a continuidade da prestação dos SERVIÇOS.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Somente se admitirá a paralisação dos SERVIÇOS quando o objeto da divergência ou conflito de interesse implicar riscos à segurança de pessoas e/ou do empreendimento, desde que a paralisação comprovadamente configure a medida mais adequada à neutralização ou, quando esta não for possível, à mitigação do risco eventualmente existente, obtendo-se, quando possível sem comprometimento da segurança, a anuência do PODER CONCEDENTE previamente à paralisação.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Respeitadas as regras contratuais, as PARTES poderão se valer do Comitê de Solução de Disputas ou outras formas de solução amigável de conflitos, sobre os quais deverão acordar formalmente, para dirimir questões técnicas e, inclusive, quaisquer eventuais dúvidas, solicitar esclarecimentos ou demandar pareceres ou manifestações técnicas que sirvam à perfeita compreensão de aspectos em discussão.</w:t>
      </w:r>
    </w:p>
    <w:p>
      <w:pPr>
        <w:pStyle w:val="Normal"/>
        <w:rPr/>
      </w:pPr>
      <w:r>
        <w:rPr/>
      </w:r>
    </w:p>
    <w:p>
      <w:pPr>
        <w:pStyle w:val="Heading1"/>
        <w:numPr>
          <w:ilvl w:val="0"/>
          <w:numId w:val="9"/>
        </w:numPr>
        <w:spacing w:lineRule="auto" w:line="319" w:before="0" w:after="0"/>
        <w:jc w:val="both"/>
        <w:rPr>
          <w:rFonts w:ascii="Times New Roman" w:hAnsi="Times New Roman" w:eastAsia="Times New Roman" w:cs="Times New Roman"/>
          <w:sz w:val="24"/>
          <w:szCs w:val="24"/>
        </w:rPr>
      </w:pPr>
      <w:bookmarkStart w:id="75" w:name="_Toc194916571"/>
      <w:r>
        <w:rPr>
          <w:rFonts w:eastAsia="Times New Roman" w:cs="Times New Roman" w:ascii="Times New Roman" w:hAnsi="Times New Roman"/>
          <w:b/>
          <w:color w:val="000000"/>
          <w:sz w:val="24"/>
          <w:szCs w:val="24"/>
        </w:rPr>
        <w:t>DISPOSIÇÕES FINAIS</w:t>
      </w:r>
      <w:bookmarkEnd w:id="75"/>
    </w:p>
    <w:p>
      <w:pPr>
        <w:pStyle w:val="Normal"/>
        <w:pBdr/>
        <w:spacing w:lineRule="auto" w:line="319"/>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As normas disciplinadoras deste CONTRATO serão sempre interpretadas em favor da qualidade e quantidade dos SERVIÇOS prestados aos USUÁRIOS, prevalecendo o interesse público, desde que a interpretação não viole a lei e não comprometa o interesse do MUNICÍPIO, a finalidade e a segurança da CONCESSÃO.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CONCESSIONÁRIA é responsável, sob as penas da lei, pela fidelidade e legitimidade das informações e dos documentos apresentados em qualquer fase da LICITAÇÃO e durante a vigência deste CONTRATO.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Sobre os assuntos estabelecidos neste CONTRATO, bem como decisões proferidas pelo PODER CONCEDENTE, a CONCESSIONÁRIA terá direito à observância do devido processo administrativo.</w:t>
      </w:r>
    </w:p>
    <w:p>
      <w:pPr>
        <w:pStyle w:val="Normal"/>
        <w:pBdr/>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Este CONTRATO vincula as PARTES e seus sucessores em todos os seus aspectos.</w:t>
      </w:r>
    </w:p>
    <w:p>
      <w:pPr>
        <w:pStyle w:val="Normal"/>
        <w:pBdr/>
        <w:spacing w:before="0" w:after="160"/>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Alterações eventualmente promovidas no presente CONTRATO somente serão válidas caso celebradas e assinadas por ambas as PARTES, através de Termos Aditivos, ressalvada a possibilidade de modificação unilateral do CONTRATO pelo PODER CONCEDENTE, nos termos da legislação aplicável.</w:t>
      </w:r>
    </w:p>
    <w:p>
      <w:pPr>
        <w:pStyle w:val="Normal"/>
        <w:pBdr/>
        <w:spacing w:before="0" w:after="160"/>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Se qualquer das PARTES permitir, mesmo por omissão, o descumprimento, no todo ou em parte, de quaisquer Cláusulas ou condições do CONTRATO e de seus ANEXOS, tal fato não poderá liberar, desonerar, ou de qualquer modo afetar ou prejudicar a validade e eficácia das mesmas Cláusulas e condições, as quais permanecerão inalteradas, como se nenhuma tolerância houvesse ocorrido.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 renúncia de uma PARTE quanto a qualquer direito não será válida caso não seja manifestada por escrito e deverá ser interpretada restritivamente, não permitindo sua extensão a qualquer outro direito.</w:t>
      </w:r>
    </w:p>
    <w:p>
      <w:pPr>
        <w:pStyle w:val="Normal"/>
        <w:pBdr/>
        <w:spacing w:before="0" w:after="160"/>
        <w:ind w:left="72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As relações obrigacionais não previstas nas Cláusulas e Subcláusulas deste CONTRATO poderão ser objeto de aditamento, mediante comum acordo entre as PARTES, e desde que não infrinjam qualquer lei ou regulamento e não alterem o OBJETO da CONCESSÃO.</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Todas as comunicações recíprocas entre as PARTES, relativas ao CONTRATO, serão consideradas como efetuadas se entregues por mensagem eletrônica, com aviso de recebimento, ou por correspondência física, nos endereços especificados no CONTRATO ou expressamente indicados pelas PARTES.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A entrega de qualquer correspondência, inclusive a que encaminha documentos, será feita por portador, com protocolo de recebimento, ou por correspondência com aviso de Recebimento – AR ou mensagem eletrônica com registro de recebimento, devendo, em qualquer dos casos, constar o número do CONTRATO, o assunto, a data de recebimento e o nome do remetente.</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O PODER CONCEDENTE e a CONCESSIONÁRIA deverão, no prazo de 30 (trinta) dias contados da data de publicação do extrato do CONTRATO no DOE, apresentar por escrito os nomes e cargos dos respectivos empregados, colaboradores ou representantes designados para serem responsáveis pela gestão do CONTRATO, nos aspectos técnicos e nos aspectos administrativos, e recebimento das correspondências aqui previstas.</w:t>
      </w:r>
    </w:p>
    <w:p>
      <w:pPr>
        <w:pStyle w:val="Normal"/>
        <w:pBdr/>
        <w:spacing w:lineRule="auto" w:line="31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9"/>
        </w:numPr>
        <w:pBdr/>
        <w:spacing w:lineRule="auto" w:line="319"/>
        <w:ind w:hanging="0" w:left="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 CONCESSIONÁRIA, sempre que solicitado, deverá disponibilizar para o PODER CONCEDENTE seus livros, registros contábeis e fiscais, quando houver necessidade de comprovação de dados para a correta avaliação, certificação e comprovação da situação financeira da CONCESSIONÁRIA, suficiente ao cumprimento das obrigações decorrentes deste CONTRATO.</w:t>
      </w:r>
    </w:p>
    <w:p>
      <w:pPr>
        <w:pStyle w:val="Normal"/>
        <w:spacing w:lineRule="auto" w:line="319"/>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E, por estarem justas e contratadas, as PARTES assinam o CONTRATO em 3 (três) vias de igual teor e forma, considerada cada uma delas um original.</w:t>
      </w:r>
    </w:p>
    <w:p>
      <w:pPr>
        <w:pStyle w:val="Normal"/>
        <w:spacing w:lineRule="auto" w:line="319"/>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 de [●] de 20[●].</w:t>
      </w:r>
    </w:p>
    <w:p>
      <w:pPr>
        <w:pStyle w:val="Normal"/>
        <w:spacing w:lineRule="auto" w:line="31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_____________________________</w:t>
      </w:r>
    </w:p>
    <w:p>
      <w:pPr>
        <w:pStyle w:val="Normal"/>
        <w:spacing w:lineRule="auto" w:line="31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Prefeito Municipal</w:t>
      </w:r>
    </w:p>
    <w:p>
      <w:pPr>
        <w:pStyle w:val="Normal"/>
        <w:spacing w:lineRule="auto" w:line="31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_____________________________</w:t>
      </w:r>
    </w:p>
    <w:p>
      <w:pPr>
        <w:pStyle w:val="Normal"/>
        <w:spacing w:lineRule="auto" w:line="31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Secretário Municipal [●]</w:t>
      </w:r>
    </w:p>
    <w:p>
      <w:pPr>
        <w:pStyle w:val="Normal"/>
        <w:spacing w:lineRule="auto" w:line="31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_____________________________</w:t>
      </w:r>
    </w:p>
    <w:p>
      <w:pPr>
        <w:pStyle w:val="Normal"/>
        <w:spacing w:lineRule="auto" w:line="31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Secretário [●]</w:t>
      </w:r>
    </w:p>
    <w:p>
      <w:pPr>
        <w:pStyle w:val="Normal"/>
        <w:spacing w:lineRule="auto" w:line="31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1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______________________________</w:t>
      </w:r>
    </w:p>
    <w:p>
      <w:pPr>
        <w:pStyle w:val="Normal"/>
        <w:spacing w:lineRule="auto" w:line="319"/>
        <w:jc w:val="center"/>
        <w:rPr>
          <w:rFonts w:ascii="Times New Roman" w:hAnsi="Times New Roman" w:eastAsia="Times New Roman" w:cs="Times New Roman"/>
          <w:sz w:val="24"/>
          <w:szCs w:val="24"/>
        </w:rPr>
      </w:pPr>
      <w:bookmarkStart w:id="76" w:name="_heading=h.1v1yuxt"/>
      <w:bookmarkEnd w:id="76"/>
      <w:r>
        <w:rPr>
          <w:rFonts w:eastAsia="Times New Roman" w:cs="Times New Roman" w:ascii="Times New Roman" w:hAnsi="Times New Roman"/>
          <w:sz w:val="24"/>
          <w:szCs w:val="24"/>
        </w:rPr>
        <w:t>CONCESSIONÁRIA</w:t>
      </w:r>
      <w:bookmarkStart w:id="77" w:name="bookmark=id.4f1mdlm"/>
      <w:bookmarkEnd w:id="77"/>
    </w:p>
    <w:sectPr>
      <w:headerReference w:type="even" r:id="rId2"/>
      <w:headerReference w:type="default" r:id="rId3"/>
      <w:headerReference w:type="first" r:id="rId4"/>
      <w:type w:val="nextPage"/>
      <w:pgSz w:w="11906" w:h="16838"/>
      <w:pgMar w:left="1701" w:right="1701" w:gutter="0" w:header="708" w:top="1417" w:footer="0" w:bottom="1417"/>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Calibri Light">
    <w:charset w:val="00"/>
    <w:family w:val="swiss"/>
    <w:pitch w:val="variable"/>
  </w:font>
  <w:font w:name="Segoe UI">
    <w:charset w:val="00"/>
    <w:family w:val="swiss"/>
    <w:pitch w:val="variable"/>
  </w:font>
  <w:font w:name="Liberation Sans">
    <w:altName w:val="Arial"/>
    <w:charset w:val="00"/>
    <w:family w:val="swiss"/>
    <w:pitch w:val="variable"/>
  </w:font>
  <w:font w:name="Georgi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252" w:leader="none"/>
        <w:tab w:val="right" w:pos="8504" w:leader="none"/>
      </w:tabs>
      <w:rPr>
        <w:color w:val="000000"/>
      </w:rPr>
    </w:pPr>
    <w:r>
      <w:rPr>
        <w:color w:val="000000"/>
      </w:rPr>
      <w:pict>
        <v:shape id="shape_0" adj="10800" fillcolor="white" stroked="t" o:allowincell="f" style="position:absolute;margin-left:0.05pt;margin-top:0pt;width:49.95pt;height:49.95pt;mso-wrap-style:none;v-text-anchor:middle" type="_x0000_t136">
          <v:fill o:detectmouseclick="t" type="solid" color2="black"/>
          <v:stroke color="black"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252" w:leader="none"/>
        <w:tab w:val="right" w:pos="8504" w:leader="none"/>
      </w:tabs>
      <w:rPr>
        <w:color w:val="000000"/>
      </w:rPr>
    </w:pPr>
    <w:r>
      <w:rPr>
        <w:color w:val="000000"/>
      </w:rPr>
      <mc:AlternateContent>
        <mc:Choice Requires="wps">
          <w:drawing>
            <wp:anchor behindDoc="1" distT="0" distB="0" distL="0" distR="0" simplePos="0" locked="0" layoutInCell="1" allowOverlap="1" relativeHeight="78" wp14:anchorId="43E8F79D">
              <wp:simplePos x="0" y="0"/>
              <wp:positionH relativeFrom="column">
                <wp:posOffset>1257300</wp:posOffset>
              </wp:positionH>
              <wp:positionV relativeFrom="paragraph">
                <wp:posOffset>-203200</wp:posOffset>
              </wp:positionV>
              <wp:extent cx="4796155" cy="885825"/>
              <wp:effectExtent l="0" t="0" r="0" b="0"/>
              <wp:wrapNone/>
              <wp:docPr id="6" name="Retângulo 68"/>
              <a:graphic xmlns:a="http://schemas.openxmlformats.org/drawingml/2006/main">
                <a:graphicData uri="http://schemas.microsoft.com/office/word/2010/wordprocessingShape">
                  <wps:wsp>
                    <wps:cNvSpPr/>
                    <wps:spPr>
                      <a:xfrm>
                        <a:off x="0" y="0"/>
                        <a:ext cx="4796280" cy="885960"/>
                      </a:xfrm>
                      <a:prstGeom prst="rect">
                        <a:avLst/>
                      </a:prstGeom>
                      <a:solidFill>
                        <a:srgbClr val="ffffff"/>
                      </a:solidFill>
                      <a:ln w="0">
                        <a:noFill/>
                      </a:ln>
                    </wps:spPr>
                    <wps:style>
                      <a:lnRef idx="0"/>
                      <a:fillRef idx="0"/>
                      <a:effectRef idx="0"/>
                      <a:fontRef idx="minor"/>
                    </wps:style>
                    <wps:txbx>
                      <w:txbxContent>
                        <w:p>
                          <w:pPr>
                            <w:pStyle w:val="Contedodoquadro"/>
                            <w:jc w:val="center"/>
                            <w:rPr/>
                          </w:pPr>
                          <w:r>
                            <w:rPr/>
                          </w:r>
                        </w:p>
                      </w:txbxContent>
                    </wps:txbx>
                    <wps:bodyPr lIns="10080" rIns="10080" tIns="10080" bIns="10080" anchor="t">
                      <a:noAutofit/>
                    </wps:bodyPr>
                  </wps:wsp>
                </a:graphicData>
              </a:graphic>
            </wp:anchor>
          </w:drawing>
        </mc:Choice>
        <mc:Fallback>
          <w:pict>
            <v:rect id="shape_0" ID="Retângulo 68" path="m0,0l-2147483645,0l-2147483645,-2147483646l0,-2147483646xe" fillcolor="white" stroked="f" o:allowincell="f" style="position:absolute;margin-left:99pt;margin-top:-16pt;width:377.6pt;height:69.7pt;mso-wrap-style:none;v-text-anchor:middle" wp14:anchorId="43E8F79D">
              <v:fill o:detectmouseclick="t" type="solid" color2="black"/>
              <v:stroke color="#3465a4" joinstyle="round" endcap="flat"/>
              <v:textbox>
                <w:txbxContent>
                  <w:p>
                    <w:pPr>
                      <w:pStyle w:val="Contedodoquadro"/>
                      <w:jc w:val="center"/>
                      <w:rPr/>
                    </w:pPr>
                    <w:r>
                      <w:rPr/>
                    </w:r>
                  </w:p>
                </w:txbxContent>
              </v:textbox>
              <w10:wrap type="none"/>
            </v:rect>
          </w:pict>
        </mc:Fallback>
      </mc:AlternateContent>
      <mc:AlternateContent>
        <mc:Choice Requires="wps">
          <w:drawing>
            <wp:anchor behindDoc="1" distT="0" distB="0" distL="0" distR="0" simplePos="0" locked="0" layoutInCell="1" allowOverlap="1" relativeHeight="156" wp14:anchorId="78BEBCF7">
              <wp:simplePos x="0" y="0"/>
              <wp:positionH relativeFrom="column">
                <wp:posOffset>904875</wp:posOffset>
              </wp:positionH>
              <wp:positionV relativeFrom="paragraph">
                <wp:posOffset>-76200</wp:posOffset>
              </wp:positionV>
              <wp:extent cx="4796155" cy="612775"/>
              <wp:effectExtent l="0" t="0" r="0" b="0"/>
              <wp:wrapNone/>
              <wp:docPr id="7" name="Retângulo 71"/>
              <a:graphic xmlns:a="http://schemas.openxmlformats.org/drawingml/2006/main">
                <a:graphicData uri="http://schemas.microsoft.com/office/word/2010/wordprocessingShape">
                  <wps:wsp>
                    <wps:cNvSpPr/>
                    <wps:spPr>
                      <a:xfrm>
                        <a:off x="0" y="0"/>
                        <a:ext cx="4796280" cy="612720"/>
                      </a:xfrm>
                      <a:prstGeom prst="rect">
                        <a:avLst/>
                      </a:prstGeom>
                      <a:solidFill>
                        <a:srgbClr val="ffffff"/>
                      </a:solidFill>
                      <a:ln w="0">
                        <a:noFill/>
                      </a:ln>
                    </wps:spPr>
                    <wps:style>
                      <a:lnRef idx="0"/>
                      <a:fillRef idx="0"/>
                      <a:effectRef idx="0"/>
                      <a:fontRef idx="minor"/>
                    </wps:style>
                    <wps:txbx>
                      <w:txbxContent>
                        <w:p>
                          <w:pPr>
                            <w:pStyle w:val="Contedodoquadro"/>
                            <w:spacing w:lineRule="auto" w:line="360"/>
                            <w:jc w:val="center"/>
                            <w:rPr/>
                          </w:pPr>
                          <w:r>
                            <w:rPr>
                              <w:rFonts w:eastAsia="Arial" w:cs="Arial" w:ascii="Arial" w:hAnsi="Arial"/>
                              <w:b/>
                              <w:color w:val="000000"/>
                              <w:sz w:val="28"/>
                            </w:rPr>
                            <w:t>ESTADO DO RIO GRANDE DO SUL</w:t>
                          </w:r>
                        </w:p>
                        <w:p>
                          <w:pPr>
                            <w:pStyle w:val="Contedodoquadro"/>
                            <w:spacing w:lineRule="auto" w:line="360"/>
                            <w:jc w:val="center"/>
                            <w:rPr/>
                          </w:pPr>
                          <w:r>
                            <w:rPr>
                              <w:rFonts w:eastAsia="Arial" w:cs="Arial" w:ascii="Arial" w:hAnsi="Arial"/>
                              <w:b/>
                              <w:color w:val="000000"/>
                              <w:sz w:val="26"/>
                            </w:rPr>
                            <w:t>MUNICÍPIO DE CAXIAS DO SUL</w:t>
                          </w:r>
                        </w:p>
                        <w:p>
                          <w:pPr>
                            <w:pStyle w:val="Contedodoquadro"/>
                            <w:spacing w:lineRule="auto" w:line="360"/>
                            <w:jc w:val="center"/>
                            <w:rPr/>
                          </w:pPr>
                          <w:r>
                            <w:rPr/>
                          </w:r>
                        </w:p>
                        <w:p>
                          <w:pPr>
                            <w:pStyle w:val="Contedodoquadro"/>
                            <w:jc w:val="center"/>
                            <w:rPr/>
                          </w:pPr>
                          <w:r>
                            <w:rPr/>
                          </w:r>
                        </w:p>
                      </w:txbxContent>
                    </wps:txbx>
                    <wps:bodyPr lIns="10080" rIns="10080" tIns="10080" bIns="10080" anchor="t">
                      <a:noAutofit/>
                    </wps:bodyPr>
                  </wps:wsp>
                </a:graphicData>
              </a:graphic>
            </wp:anchor>
          </w:drawing>
        </mc:Choice>
        <mc:Fallback>
          <w:pict>
            <v:rect id="shape_0" ID="Retângulo 71" path="m0,0l-2147483645,0l-2147483645,-2147483646l0,-2147483646xe" fillcolor="white" stroked="f" o:allowincell="f" style="position:absolute;margin-left:71.25pt;margin-top:-6pt;width:377.6pt;height:48.2pt;mso-wrap-style:square;v-text-anchor:top" wp14:anchorId="78BEBCF7">
              <v:fill o:detectmouseclick="t" type="solid" color2="black"/>
              <v:stroke color="#3465a4" joinstyle="round" endcap="flat"/>
              <v:textbox>
                <w:txbxContent>
                  <w:p>
                    <w:pPr>
                      <w:pStyle w:val="Contedodoquadro"/>
                      <w:spacing w:lineRule="auto" w:line="360"/>
                      <w:jc w:val="center"/>
                      <w:rPr/>
                    </w:pPr>
                    <w:r>
                      <w:rPr>
                        <w:rFonts w:eastAsia="Arial" w:cs="Arial" w:ascii="Arial" w:hAnsi="Arial"/>
                        <w:b/>
                        <w:color w:val="000000"/>
                        <w:sz w:val="28"/>
                      </w:rPr>
                      <w:t>ESTADO DO RIO GRANDE DO SUL</w:t>
                    </w:r>
                  </w:p>
                  <w:p>
                    <w:pPr>
                      <w:pStyle w:val="Contedodoquadro"/>
                      <w:spacing w:lineRule="auto" w:line="360"/>
                      <w:jc w:val="center"/>
                      <w:rPr/>
                    </w:pPr>
                    <w:r>
                      <w:rPr>
                        <w:rFonts w:eastAsia="Arial" w:cs="Arial" w:ascii="Arial" w:hAnsi="Arial"/>
                        <w:b/>
                        <w:color w:val="000000"/>
                        <w:sz w:val="26"/>
                      </w:rPr>
                      <w:t>MUNICÍPIO DE CAXIAS DO SUL</w:t>
                    </w:r>
                  </w:p>
                  <w:p>
                    <w:pPr>
                      <w:pStyle w:val="Contedodoquadro"/>
                      <w:spacing w:lineRule="auto" w:line="360"/>
                      <w:jc w:val="center"/>
                      <w:rPr/>
                    </w:pPr>
                    <w:r>
                      <w:rPr/>
                    </w:r>
                  </w:p>
                  <w:p>
                    <w:pPr>
                      <w:pStyle w:val="Contedodoquadro"/>
                      <w:jc w:val="center"/>
                      <w:rPr/>
                    </w:pPr>
                    <w:r>
                      <w:rPr/>
                    </w:r>
                  </w:p>
                </w:txbxContent>
              </v:textbox>
              <w10:wrap type="none"/>
            </v:rect>
          </w:pict>
        </mc:Fallback>
      </mc:AlternateContent>
      <w:drawing>
        <wp:anchor behindDoc="1" distT="0" distB="0" distL="0" distR="0" simplePos="0" locked="0" layoutInCell="0" allowOverlap="1" relativeHeight="196">
          <wp:simplePos x="0" y="0"/>
          <wp:positionH relativeFrom="margin">
            <wp:align>left</wp:align>
          </wp:positionH>
          <wp:positionV relativeFrom="paragraph">
            <wp:posOffset>-293370</wp:posOffset>
          </wp:positionV>
          <wp:extent cx="1167765" cy="953135"/>
          <wp:effectExtent l="0" t="0" r="0" b="0"/>
          <wp:wrapTopAndBottom/>
          <wp:docPr id="8" name="image1.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jpg" descr=""/>
                  <pic:cNvPicPr>
                    <a:picLocks noChangeAspect="1" noChangeArrowheads="1"/>
                  </pic:cNvPicPr>
                </pic:nvPicPr>
                <pic:blipFill>
                  <a:blip r:embed="rId1"/>
                  <a:srcRect l="-557" t="-616" r="-557" b="-616"/>
                  <a:stretch>
                    <a:fillRect/>
                  </a:stretch>
                </pic:blipFill>
                <pic:spPr bwMode="auto">
                  <a:xfrm>
                    <a:off x="0" y="0"/>
                    <a:ext cx="1167765" cy="953135"/>
                  </a:xfrm>
                  <a:prstGeom prst="rect">
                    <a:avLst/>
                  </a:prstGeom>
                  <a:noFill/>
                </pic:spPr>
              </pic:pic>
            </a:graphicData>
          </a:graphic>
        </wp:anchor>
      </w:drawing>
      <w:pict>
        <v:shape id="shape_0" adj="10800" fillcolor="white" stroked="t" o:allowincell="f" style="position:absolute;margin-left:0.05pt;margin-top:0pt;width:49.95pt;height:49.95pt;mso-wrap-style:none;v-text-anchor:middle" type="_x0000_t136">
          <v:fill o:detectmouseclick="t" type="solid" color2="black"/>
          <v:stroke color="black" joinstyle="round" endcap="flat"/>
          <w10:wrap type="none"/>
        </v:shape>
      </w:pic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252" w:leader="none"/>
        <w:tab w:val="right" w:pos="8504" w:leader="none"/>
      </w:tabs>
      <w:rPr>
        <w:color w:val="000000"/>
      </w:rPr>
    </w:pPr>
    <w:r>
      <w:rPr>
        <w:color w:val="000000"/>
      </w:rPr>
      <mc:AlternateContent>
        <mc:Choice Requires="wps">
          <w:drawing>
            <wp:anchor behindDoc="1" distT="0" distB="0" distL="0" distR="0" simplePos="0" locked="0" layoutInCell="1" allowOverlap="1" relativeHeight="78" wp14:anchorId="43E8F79D">
              <wp:simplePos x="0" y="0"/>
              <wp:positionH relativeFrom="column">
                <wp:posOffset>1257300</wp:posOffset>
              </wp:positionH>
              <wp:positionV relativeFrom="paragraph">
                <wp:posOffset>-203200</wp:posOffset>
              </wp:positionV>
              <wp:extent cx="4796155" cy="885825"/>
              <wp:effectExtent l="0" t="0" r="0" b="0"/>
              <wp:wrapNone/>
              <wp:docPr id="10" name="Retângulo 68"/>
              <a:graphic xmlns:a="http://schemas.openxmlformats.org/drawingml/2006/main">
                <a:graphicData uri="http://schemas.microsoft.com/office/word/2010/wordprocessingShape">
                  <wps:wsp>
                    <wps:cNvSpPr/>
                    <wps:spPr>
                      <a:xfrm>
                        <a:off x="0" y="0"/>
                        <a:ext cx="4796280" cy="885960"/>
                      </a:xfrm>
                      <a:prstGeom prst="rect">
                        <a:avLst/>
                      </a:prstGeom>
                      <a:solidFill>
                        <a:srgbClr val="ffffff"/>
                      </a:solidFill>
                      <a:ln w="0">
                        <a:noFill/>
                      </a:ln>
                    </wps:spPr>
                    <wps:style>
                      <a:lnRef idx="0"/>
                      <a:fillRef idx="0"/>
                      <a:effectRef idx="0"/>
                      <a:fontRef idx="minor"/>
                    </wps:style>
                    <wps:txbx>
                      <w:txbxContent>
                        <w:p>
                          <w:pPr>
                            <w:pStyle w:val="Contedodoquadro"/>
                            <w:jc w:val="center"/>
                            <w:rPr/>
                          </w:pPr>
                          <w:r>
                            <w:rPr/>
                          </w:r>
                        </w:p>
                      </w:txbxContent>
                    </wps:txbx>
                    <wps:bodyPr lIns="10080" rIns="10080" tIns="10080" bIns="10080" anchor="t">
                      <a:noAutofit/>
                    </wps:bodyPr>
                  </wps:wsp>
                </a:graphicData>
              </a:graphic>
            </wp:anchor>
          </w:drawing>
        </mc:Choice>
        <mc:Fallback>
          <w:pict>
            <v:rect id="shape_0" ID="Retângulo 68" path="m0,0l-2147483645,0l-2147483645,-2147483646l0,-2147483646xe" fillcolor="white" stroked="f" o:allowincell="f" style="position:absolute;margin-left:99pt;margin-top:-16pt;width:377.6pt;height:69.7pt;mso-wrap-style:none;v-text-anchor:middle" wp14:anchorId="43E8F79D">
              <v:fill o:detectmouseclick="t" type="solid" color2="black"/>
              <v:stroke color="#3465a4" joinstyle="round" endcap="flat"/>
              <v:textbox>
                <w:txbxContent>
                  <w:p>
                    <w:pPr>
                      <w:pStyle w:val="Contedodoquadro"/>
                      <w:jc w:val="center"/>
                      <w:rPr/>
                    </w:pPr>
                    <w:r>
                      <w:rPr/>
                    </w:r>
                  </w:p>
                </w:txbxContent>
              </v:textbox>
              <w10:wrap type="none"/>
            </v:rect>
          </w:pict>
        </mc:Fallback>
      </mc:AlternateContent>
      <mc:AlternateContent>
        <mc:Choice Requires="wps">
          <w:drawing>
            <wp:anchor behindDoc="1" distT="0" distB="0" distL="0" distR="0" simplePos="0" locked="0" layoutInCell="1" allowOverlap="1" relativeHeight="156" wp14:anchorId="78BEBCF7">
              <wp:simplePos x="0" y="0"/>
              <wp:positionH relativeFrom="column">
                <wp:posOffset>904875</wp:posOffset>
              </wp:positionH>
              <wp:positionV relativeFrom="paragraph">
                <wp:posOffset>-76200</wp:posOffset>
              </wp:positionV>
              <wp:extent cx="4796155" cy="612775"/>
              <wp:effectExtent l="0" t="0" r="0" b="0"/>
              <wp:wrapNone/>
              <wp:docPr id="11" name="Retângulo 71"/>
              <a:graphic xmlns:a="http://schemas.openxmlformats.org/drawingml/2006/main">
                <a:graphicData uri="http://schemas.microsoft.com/office/word/2010/wordprocessingShape">
                  <wps:wsp>
                    <wps:cNvSpPr/>
                    <wps:spPr>
                      <a:xfrm>
                        <a:off x="0" y="0"/>
                        <a:ext cx="4796280" cy="612720"/>
                      </a:xfrm>
                      <a:prstGeom prst="rect">
                        <a:avLst/>
                      </a:prstGeom>
                      <a:solidFill>
                        <a:srgbClr val="ffffff"/>
                      </a:solidFill>
                      <a:ln w="0">
                        <a:noFill/>
                      </a:ln>
                    </wps:spPr>
                    <wps:style>
                      <a:lnRef idx="0"/>
                      <a:fillRef idx="0"/>
                      <a:effectRef idx="0"/>
                      <a:fontRef idx="minor"/>
                    </wps:style>
                    <wps:txbx>
                      <w:txbxContent>
                        <w:p>
                          <w:pPr>
                            <w:pStyle w:val="Contedodoquadro"/>
                            <w:spacing w:lineRule="auto" w:line="360"/>
                            <w:jc w:val="center"/>
                            <w:rPr/>
                          </w:pPr>
                          <w:r>
                            <w:rPr>
                              <w:rFonts w:eastAsia="Arial" w:cs="Arial" w:ascii="Arial" w:hAnsi="Arial"/>
                              <w:b/>
                              <w:color w:val="000000"/>
                              <w:sz w:val="28"/>
                            </w:rPr>
                            <w:t>ESTADO DO RIO GRANDE DO SUL</w:t>
                          </w:r>
                        </w:p>
                        <w:p>
                          <w:pPr>
                            <w:pStyle w:val="Contedodoquadro"/>
                            <w:spacing w:lineRule="auto" w:line="360"/>
                            <w:jc w:val="center"/>
                            <w:rPr/>
                          </w:pPr>
                          <w:r>
                            <w:rPr>
                              <w:rFonts w:eastAsia="Arial" w:cs="Arial" w:ascii="Arial" w:hAnsi="Arial"/>
                              <w:b/>
                              <w:color w:val="000000"/>
                              <w:sz w:val="26"/>
                            </w:rPr>
                            <w:t>MUNICÍPIO DE CAXIAS DO SUL</w:t>
                          </w:r>
                        </w:p>
                        <w:p>
                          <w:pPr>
                            <w:pStyle w:val="Contedodoquadro"/>
                            <w:spacing w:lineRule="auto" w:line="360"/>
                            <w:jc w:val="center"/>
                            <w:rPr/>
                          </w:pPr>
                          <w:r>
                            <w:rPr/>
                          </w:r>
                        </w:p>
                        <w:p>
                          <w:pPr>
                            <w:pStyle w:val="Contedodoquadro"/>
                            <w:jc w:val="center"/>
                            <w:rPr/>
                          </w:pPr>
                          <w:r>
                            <w:rPr/>
                          </w:r>
                        </w:p>
                      </w:txbxContent>
                    </wps:txbx>
                    <wps:bodyPr lIns="10080" rIns="10080" tIns="10080" bIns="10080" anchor="t">
                      <a:noAutofit/>
                    </wps:bodyPr>
                  </wps:wsp>
                </a:graphicData>
              </a:graphic>
            </wp:anchor>
          </w:drawing>
        </mc:Choice>
        <mc:Fallback>
          <w:pict>
            <v:rect id="shape_0" ID="Retângulo 71" path="m0,0l-2147483645,0l-2147483645,-2147483646l0,-2147483646xe" fillcolor="white" stroked="f" o:allowincell="f" style="position:absolute;margin-left:71.25pt;margin-top:-6pt;width:377.6pt;height:48.2pt;mso-wrap-style:square;v-text-anchor:top" wp14:anchorId="78BEBCF7">
              <v:fill o:detectmouseclick="t" type="solid" color2="black"/>
              <v:stroke color="#3465a4" joinstyle="round" endcap="flat"/>
              <v:textbox>
                <w:txbxContent>
                  <w:p>
                    <w:pPr>
                      <w:pStyle w:val="Contedodoquadro"/>
                      <w:spacing w:lineRule="auto" w:line="360"/>
                      <w:jc w:val="center"/>
                      <w:rPr/>
                    </w:pPr>
                    <w:r>
                      <w:rPr>
                        <w:rFonts w:eastAsia="Arial" w:cs="Arial" w:ascii="Arial" w:hAnsi="Arial"/>
                        <w:b/>
                        <w:color w:val="000000"/>
                        <w:sz w:val="28"/>
                      </w:rPr>
                      <w:t>ESTADO DO RIO GRANDE DO SUL</w:t>
                    </w:r>
                  </w:p>
                  <w:p>
                    <w:pPr>
                      <w:pStyle w:val="Contedodoquadro"/>
                      <w:spacing w:lineRule="auto" w:line="360"/>
                      <w:jc w:val="center"/>
                      <w:rPr/>
                    </w:pPr>
                    <w:r>
                      <w:rPr>
                        <w:rFonts w:eastAsia="Arial" w:cs="Arial" w:ascii="Arial" w:hAnsi="Arial"/>
                        <w:b/>
                        <w:color w:val="000000"/>
                        <w:sz w:val="26"/>
                      </w:rPr>
                      <w:t>MUNICÍPIO DE CAXIAS DO SUL</w:t>
                    </w:r>
                  </w:p>
                  <w:p>
                    <w:pPr>
                      <w:pStyle w:val="Contedodoquadro"/>
                      <w:spacing w:lineRule="auto" w:line="360"/>
                      <w:jc w:val="center"/>
                      <w:rPr/>
                    </w:pPr>
                    <w:r>
                      <w:rPr/>
                    </w:r>
                  </w:p>
                  <w:p>
                    <w:pPr>
                      <w:pStyle w:val="Contedodoquadro"/>
                      <w:jc w:val="center"/>
                      <w:rPr/>
                    </w:pPr>
                    <w:r>
                      <w:rPr/>
                    </w:r>
                  </w:p>
                </w:txbxContent>
              </v:textbox>
              <w10:wrap type="none"/>
            </v:rect>
          </w:pict>
        </mc:Fallback>
      </mc:AlternateContent>
      <w:drawing>
        <wp:anchor behindDoc="1" distT="0" distB="0" distL="0" distR="0" simplePos="0" locked="0" layoutInCell="0" allowOverlap="1" relativeHeight="196">
          <wp:simplePos x="0" y="0"/>
          <wp:positionH relativeFrom="margin">
            <wp:align>left</wp:align>
          </wp:positionH>
          <wp:positionV relativeFrom="paragraph">
            <wp:posOffset>-293370</wp:posOffset>
          </wp:positionV>
          <wp:extent cx="1167765" cy="953135"/>
          <wp:effectExtent l="0" t="0" r="0" b="0"/>
          <wp:wrapTopAndBottom/>
          <wp:docPr id="12" name="image1.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g" descr=""/>
                  <pic:cNvPicPr>
                    <a:picLocks noChangeAspect="1" noChangeArrowheads="1"/>
                  </pic:cNvPicPr>
                </pic:nvPicPr>
                <pic:blipFill>
                  <a:blip r:embed="rId1"/>
                  <a:srcRect l="-557" t="-616" r="-557" b="-616"/>
                  <a:stretch>
                    <a:fillRect/>
                  </a:stretch>
                </pic:blipFill>
                <pic:spPr bwMode="auto">
                  <a:xfrm>
                    <a:off x="0" y="0"/>
                    <a:ext cx="1167765" cy="953135"/>
                  </a:xfrm>
                  <a:prstGeom prst="rect">
                    <a:avLst/>
                  </a:prstGeom>
                  <a:noFill/>
                </pic:spPr>
              </pic:pic>
            </a:graphicData>
          </a:graphic>
        </wp:anchor>
      </w:drawing>
      <w:pict>
        <v:shape id="shape_0" adj="10800" fillcolor="white" stroked="t" o:allowincell="f" style="position:absolute;margin-left:0.05pt;margin-top:0pt;width:49.95pt;height:49.95pt;mso-wrap-style:none;v-text-anchor:middle" type="_x0000_t136">
          <v:fill o:detectmouseclick="t" type="solid" color2="black"/>
          <v:stroke color="black" joinstyle="round" endcap="flat"/>
          <w10:wrap type="none"/>
        </v:shape>
      </w:pic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2008" w:hanging="360"/>
      </w:pPr>
      <w:rPr>
        <w:color w:val="000000"/>
      </w:rPr>
    </w:lvl>
    <w:lvl w:ilvl="1">
      <w:start w:val="1"/>
      <w:pStyle w:val="Heading2"/>
      <w:numFmt w:val="lowerLetter"/>
      <w:lvlText w:val="%2."/>
      <w:lvlJc w:val="left"/>
      <w:pPr>
        <w:tabs>
          <w:tab w:val="num" w:pos="0"/>
        </w:tabs>
        <w:ind w:left="2728" w:hanging="360"/>
      </w:pPr>
      <w:rPr/>
    </w:lvl>
    <w:lvl w:ilvl="2">
      <w:start w:val="1"/>
      <w:numFmt w:val="lowerRoman"/>
      <w:lvlText w:val="%3."/>
      <w:lvlJc w:val="right"/>
      <w:pPr>
        <w:tabs>
          <w:tab w:val="num" w:pos="0"/>
        </w:tabs>
        <w:ind w:left="3448" w:hanging="180"/>
      </w:pPr>
      <w:rPr/>
    </w:lvl>
    <w:lvl w:ilvl="3">
      <w:start w:val="1"/>
      <w:numFmt w:val="decimal"/>
      <w:lvlText w:val="%4."/>
      <w:lvlJc w:val="left"/>
      <w:pPr>
        <w:tabs>
          <w:tab w:val="num" w:pos="0"/>
        </w:tabs>
        <w:ind w:left="4168" w:hanging="360"/>
      </w:pPr>
      <w:rPr/>
    </w:lvl>
    <w:lvl w:ilvl="4">
      <w:start w:val="1"/>
      <w:numFmt w:val="lowerLetter"/>
      <w:lvlText w:val="%5."/>
      <w:lvlJc w:val="left"/>
      <w:pPr>
        <w:tabs>
          <w:tab w:val="num" w:pos="0"/>
        </w:tabs>
        <w:ind w:left="4888" w:hanging="360"/>
      </w:pPr>
      <w:rPr/>
    </w:lvl>
    <w:lvl w:ilvl="5">
      <w:start w:val="1"/>
      <w:numFmt w:val="lowerRoman"/>
      <w:lvlText w:val="%6."/>
      <w:lvlJc w:val="right"/>
      <w:pPr>
        <w:tabs>
          <w:tab w:val="num" w:pos="0"/>
        </w:tabs>
        <w:ind w:left="5608" w:hanging="180"/>
      </w:pPr>
      <w:rPr/>
    </w:lvl>
    <w:lvl w:ilvl="6">
      <w:start w:val="1"/>
      <w:numFmt w:val="decimal"/>
      <w:lvlText w:val="%7."/>
      <w:lvlJc w:val="left"/>
      <w:pPr>
        <w:tabs>
          <w:tab w:val="num" w:pos="0"/>
        </w:tabs>
        <w:ind w:left="6328" w:hanging="360"/>
      </w:pPr>
      <w:rPr/>
    </w:lvl>
    <w:lvl w:ilvl="7">
      <w:start w:val="1"/>
      <w:numFmt w:val="lowerLetter"/>
      <w:lvlText w:val="%8."/>
      <w:lvlJc w:val="left"/>
      <w:pPr>
        <w:tabs>
          <w:tab w:val="num" w:pos="0"/>
        </w:tabs>
        <w:ind w:left="7048" w:hanging="360"/>
      </w:pPr>
      <w:rPr/>
    </w:lvl>
    <w:lvl w:ilvl="8">
      <w:start w:val="1"/>
      <w:numFmt w:val="lowerRoman"/>
      <w:lvlText w:val="%9."/>
      <w:lvlJc w:val="right"/>
      <w:pPr>
        <w:tabs>
          <w:tab w:val="num" w:pos="0"/>
        </w:tabs>
        <w:ind w:left="7768" w:hanging="180"/>
      </w:pPr>
      <w:rPr/>
    </w:lvl>
  </w:abstractNum>
  <w:abstractNum w:abstractNumId="2">
    <w:lvl w:ilvl="0">
      <w:start w:val="1"/>
      <w:numFmt w:val="lowerLetter"/>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3">
    <w:lvl w:ilvl="0">
      <w:start w:val="1"/>
      <w:numFmt w:val="lowerLetter"/>
      <w:lvlText w:val="%1)"/>
      <w:lvlJc w:val="left"/>
      <w:pPr>
        <w:tabs>
          <w:tab w:val="num" w:pos="0"/>
        </w:tabs>
        <w:ind w:left="2008" w:hanging="360"/>
      </w:pPr>
      <w:rPr>
        <w:color w:val="000000"/>
      </w:rPr>
    </w:lvl>
    <w:lvl w:ilvl="1">
      <w:start w:val="1"/>
      <w:numFmt w:val="lowerLetter"/>
      <w:lvlText w:val="%2."/>
      <w:lvlJc w:val="left"/>
      <w:pPr>
        <w:tabs>
          <w:tab w:val="num" w:pos="0"/>
        </w:tabs>
        <w:ind w:left="2728" w:hanging="360"/>
      </w:pPr>
      <w:rPr/>
    </w:lvl>
    <w:lvl w:ilvl="2">
      <w:start w:val="1"/>
      <w:numFmt w:val="lowerRoman"/>
      <w:lvlText w:val="%3."/>
      <w:lvlJc w:val="right"/>
      <w:pPr>
        <w:tabs>
          <w:tab w:val="num" w:pos="0"/>
        </w:tabs>
        <w:ind w:left="3448" w:hanging="180"/>
      </w:pPr>
      <w:rPr/>
    </w:lvl>
    <w:lvl w:ilvl="3">
      <w:start w:val="1"/>
      <w:numFmt w:val="decimal"/>
      <w:lvlText w:val="%4."/>
      <w:lvlJc w:val="left"/>
      <w:pPr>
        <w:tabs>
          <w:tab w:val="num" w:pos="0"/>
        </w:tabs>
        <w:ind w:left="4168" w:hanging="360"/>
      </w:pPr>
      <w:rPr/>
    </w:lvl>
    <w:lvl w:ilvl="4">
      <w:start w:val="1"/>
      <w:numFmt w:val="lowerLetter"/>
      <w:lvlText w:val="%5."/>
      <w:lvlJc w:val="left"/>
      <w:pPr>
        <w:tabs>
          <w:tab w:val="num" w:pos="0"/>
        </w:tabs>
        <w:ind w:left="4888" w:hanging="360"/>
      </w:pPr>
      <w:rPr/>
    </w:lvl>
    <w:lvl w:ilvl="5">
      <w:start w:val="1"/>
      <w:numFmt w:val="lowerRoman"/>
      <w:lvlText w:val="%6."/>
      <w:lvlJc w:val="right"/>
      <w:pPr>
        <w:tabs>
          <w:tab w:val="num" w:pos="0"/>
        </w:tabs>
        <w:ind w:left="5608" w:hanging="180"/>
      </w:pPr>
      <w:rPr/>
    </w:lvl>
    <w:lvl w:ilvl="6">
      <w:start w:val="1"/>
      <w:numFmt w:val="decimal"/>
      <w:lvlText w:val="%7."/>
      <w:lvlJc w:val="left"/>
      <w:pPr>
        <w:tabs>
          <w:tab w:val="num" w:pos="0"/>
        </w:tabs>
        <w:ind w:left="6328" w:hanging="360"/>
      </w:pPr>
      <w:rPr/>
    </w:lvl>
    <w:lvl w:ilvl="7">
      <w:start w:val="1"/>
      <w:numFmt w:val="lowerLetter"/>
      <w:lvlText w:val="%8."/>
      <w:lvlJc w:val="left"/>
      <w:pPr>
        <w:tabs>
          <w:tab w:val="num" w:pos="0"/>
        </w:tabs>
        <w:ind w:left="7048" w:hanging="360"/>
      </w:pPr>
      <w:rPr/>
    </w:lvl>
    <w:lvl w:ilvl="8">
      <w:start w:val="1"/>
      <w:numFmt w:val="lowerRoman"/>
      <w:lvlText w:val="%9."/>
      <w:lvlJc w:val="right"/>
      <w:pPr>
        <w:tabs>
          <w:tab w:val="num" w:pos="0"/>
        </w:tabs>
        <w:ind w:left="7768" w:hanging="180"/>
      </w:pPr>
      <w:rPr/>
    </w:lvl>
  </w:abstractNum>
  <w:abstractNum w:abstractNumId="4">
    <w:lvl w:ilvl="0">
      <w:start w:val="1"/>
      <w:numFmt w:val="lowerLetter"/>
      <w:lvlText w:val="(%1)"/>
      <w:lvlJc w:val="left"/>
      <w:pPr>
        <w:tabs>
          <w:tab w:val="num" w:pos="0"/>
        </w:tabs>
        <w:ind w:left="1440" w:hanging="360"/>
      </w:pPr>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5">
    <w:lvl w:ilvl="0">
      <w:start w:val="1"/>
      <w:numFmt w:val="lowerLetter"/>
      <w:lvlText w:val="%1)"/>
      <w:lvlJc w:val="left"/>
      <w:pPr>
        <w:tabs>
          <w:tab w:val="num" w:pos="0"/>
        </w:tabs>
        <w:ind w:left="934" w:hanging="360"/>
      </w:pPr>
      <w:rPr/>
    </w:lvl>
    <w:lvl w:ilvl="1">
      <w:start w:val="1"/>
      <w:numFmt w:val="lowerLetter"/>
      <w:lvlText w:val="%2."/>
      <w:lvlJc w:val="left"/>
      <w:pPr>
        <w:tabs>
          <w:tab w:val="num" w:pos="0"/>
        </w:tabs>
        <w:ind w:left="1654" w:hanging="360"/>
      </w:pPr>
      <w:rPr/>
    </w:lvl>
    <w:lvl w:ilvl="2">
      <w:start w:val="1"/>
      <w:numFmt w:val="lowerRoman"/>
      <w:lvlText w:val="%3."/>
      <w:lvlJc w:val="right"/>
      <w:pPr>
        <w:tabs>
          <w:tab w:val="num" w:pos="0"/>
        </w:tabs>
        <w:ind w:left="2374" w:hanging="180"/>
      </w:pPr>
      <w:rPr/>
    </w:lvl>
    <w:lvl w:ilvl="3">
      <w:start w:val="1"/>
      <w:numFmt w:val="decimal"/>
      <w:lvlText w:val="%4."/>
      <w:lvlJc w:val="left"/>
      <w:pPr>
        <w:tabs>
          <w:tab w:val="num" w:pos="0"/>
        </w:tabs>
        <w:ind w:left="3094" w:hanging="360"/>
      </w:pPr>
      <w:rPr/>
    </w:lvl>
    <w:lvl w:ilvl="4">
      <w:start w:val="1"/>
      <w:numFmt w:val="lowerLetter"/>
      <w:lvlText w:val="%5."/>
      <w:lvlJc w:val="left"/>
      <w:pPr>
        <w:tabs>
          <w:tab w:val="num" w:pos="0"/>
        </w:tabs>
        <w:ind w:left="3814" w:hanging="360"/>
      </w:pPr>
      <w:rPr/>
    </w:lvl>
    <w:lvl w:ilvl="5">
      <w:start w:val="1"/>
      <w:numFmt w:val="lowerRoman"/>
      <w:lvlText w:val="%6."/>
      <w:lvlJc w:val="right"/>
      <w:pPr>
        <w:tabs>
          <w:tab w:val="num" w:pos="0"/>
        </w:tabs>
        <w:ind w:left="4534" w:hanging="180"/>
      </w:pPr>
      <w:rPr/>
    </w:lvl>
    <w:lvl w:ilvl="6">
      <w:start w:val="1"/>
      <w:numFmt w:val="decimal"/>
      <w:lvlText w:val="%7."/>
      <w:lvlJc w:val="left"/>
      <w:pPr>
        <w:tabs>
          <w:tab w:val="num" w:pos="0"/>
        </w:tabs>
        <w:ind w:left="5254" w:hanging="360"/>
      </w:pPr>
      <w:rPr/>
    </w:lvl>
    <w:lvl w:ilvl="7">
      <w:start w:val="1"/>
      <w:numFmt w:val="lowerLetter"/>
      <w:lvlText w:val="%8."/>
      <w:lvlJc w:val="left"/>
      <w:pPr>
        <w:tabs>
          <w:tab w:val="num" w:pos="0"/>
        </w:tabs>
        <w:ind w:left="5974" w:hanging="360"/>
      </w:pPr>
      <w:rPr/>
    </w:lvl>
    <w:lvl w:ilvl="8">
      <w:start w:val="1"/>
      <w:numFmt w:val="lowerRoman"/>
      <w:lvlText w:val="%9."/>
      <w:lvlJc w:val="right"/>
      <w:pPr>
        <w:tabs>
          <w:tab w:val="num" w:pos="0"/>
        </w:tabs>
        <w:ind w:left="6694" w:hanging="180"/>
      </w:pPr>
      <w:rPr/>
    </w:lvl>
  </w:abstractNum>
  <w:abstractNum w:abstractNumId="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lowerRoman"/>
      <w:lvlText w:val="(%1)"/>
      <w:lvlJc w:val="left"/>
      <w:pPr>
        <w:tabs>
          <w:tab w:val="num" w:pos="0"/>
        </w:tabs>
        <w:ind w:left="1080" w:hanging="720"/>
      </w:pPr>
      <w:rPr>
        <w:i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lowerLetter"/>
      <w:lvlText w:val="%1)"/>
      <w:lvlJc w:val="left"/>
      <w:pPr>
        <w:tabs>
          <w:tab w:val="num" w:pos="0"/>
        </w:tabs>
        <w:ind w:left="934" w:hanging="360"/>
      </w:pPr>
      <w:rPr/>
    </w:lvl>
    <w:lvl w:ilvl="1">
      <w:start w:val="1"/>
      <w:numFmt w:val="lowerLetter"/>
      <w:lvlText w:val="%2."/>
      <w:lvlJc w:val="left"/>
      <w:pPr>
        <w:tabs>
          <w:tab w:val="num" w:pos="0"/>
        </w:tabs>
        <w:ind w:left="1654" w:hanging="360"/>
      </w:pPr>
      <w:rPr/>
    </w:lvl>
    <w:lvl w:ilvl="2">
      <w:start w:val="1"/>
      <w:numFmt w:val="lowerRoman"/>
      <w:lvlText w:val="%3."/>
      <w:lvlJc w:val="right"/>
      <w:pPr>
        <w:tabs>
          <w:tab w:val="num" w:pos="0"/>
        </w:tabs>
        <w:ind w:left="2374" w:hanging="180"/>
      </w:pPr>
      <w:rPr/>
    </w:lvl>
    <w:lvl w:ilvl="3">
      <w:start w:val="1"/>
      <w:numFmt w:val="decimal"/>
      <w:lvlText w:val="%4."/>
      <w:lvlJc w:val="left"/>
      <w:pPr>
        <w:tabs>
          <w:tab w:val="num" w:pos="0"/>
        </w:tabs>
        <w:ind w:left="3094" w:hanging="360"/>
      </w:pPr>
      <w:rPr/>
    </w:lvl>
    <w:lvl w:ilvl="4">
      <w:start w:val="1"/>
      <w:numFmt w:val="lowerLetter"/>
      <w:lvlText w:val="%5."/>
      <w:lvlJc w:val="left"/>
      <w:pPr>
        <w:tabs>
          <w:tab w:val="num" w:pos="0"/>
        </w:tabs>
        <w:ind w:left="3814" w:hanging="360"/>
      </w:pPr>
      <w:rPr/>
    </w:lvl>
    <w:lvl w:ilvl="5">
      <w:start w:val="1"/>
      <w:numFmt w:val="lowerRoman"/>
      <w:lvlText w:val="%6."/>
      <w:lvlJc w:val="right"/>
      <w:pPr>
        <w:tabs>
          <w:tab w:val="num" w:pos="0"/>
        </w:tabs>
        <w:ind w:left="4534" w:hanging="180"/>
      </w:pPr>
      <w:rPr/>
    </w:lvl>
    <w:lvl w:ilvl="6">
      <w:start w:val="1"/>
      <w:numFmt w:val="decimal"/>
      <w:lvlText w:val="%7."/>
      <w:lvlJc w:val="left"/>
      <w:pPr>
        <w:tabs>
          <w:tab w:val="num" w:pos="0"/>
        </w:tabs>
        <w:ind w:left="5254" w:hanging="360"/>
      </w:pPr>
      <w:rPr/>
    </w:lvl>
    <w:lvl w:ilvl="7">
      <w:start w:val="1"/>
      <w:numFmt w:val="lowerLetter"/>
      <w:lvlText w:val="%8."/>
      <w:lvlJc w:val="left"/>
      <w:pPr>
        <w:tabs>
          <w:tab w:val="num" w:pos="0"/>
        </w:tabs>
        <w:ind w:left="5974" w:hanging="360"/>
      </w:pPr>
      <w:rPr/>
    </w:lvl>
    <w:lvl w:ilvl="8">
      <w:start w:val="1"/>
      <w:numFmt w:val="lowerRoman"/>
      <w:lvlText w:val="%9."/>
      <w:lvlJc w:val="right"/>
      <w:pPr>
        <w:tabs>
          <w:tab w:val="num" w:pos="0"/>
        </w:tabs>
        <w:ind w:left="6694" w:hanging="180"/>
      </w:pPr>
      <w:rPr/>
    </w:lvl>
  </w:abstractNum>
  <w:abstractNum w:abstractNumId="9">
    <w:lvl w:ilvl="0">
      <w:start w:val="1"/>
      <w:numFmt w:val="decimal"/>
      <w:lvlText w:val="%1"/>
      <w:lvlJc w:val="left"/>
      <w:pPr>
        <w:tabs>
          <w:tab w:val="num" w:pos="0"/>
        </w:tabs>
        <w:ind w:left="420" w:hanging="420"/>
      </w:pPr>
      <w:rPr>
        <w:sz w:val="24"/>
        <w:b/>
        <w:szCs w:val="24"/>
        <w:color w:val="000000"/>
      </w:rPr>
    </w:lvl>
    <w:lvl w:ilvl="1">
      <w:start w:val="1"/>
      <w:numFmt w:val="decimal"/>
      <w:lvlText w:val="%1.%2"/>
      <w:lvlJc w:val="left"/>
      <w:pPr>
        <w:tabs>
          <w:tab w:val="num" w:pos="0"/>
        </w:tabs>
        <w:ind w:left="704" w:hanging="417"/>
      </w:pPr>
      <w:rPr>
        <w:sz w:val="24"/>
        <w:b w:val="false"/>
        <w:szCs w:val="24"/>
        <w:rFonts w:ascii="Times New Roman" w:hAnsi="Times New Roman" w:eastAsia="Times New Roman" w:cs="Times New Roman"/>
        <w:color w:val="000000"/>
      </w:rPr>
    </w:lvl>
    <w:lvl w:ilvl="2">
      <w:start w:val="1"/>
      <w:numFmt w:val="decimal"/>
      <w:lvlText w:val="%1.%2.%3"/>
      <w:lvlJc w:val="left"/>
      <w:pPr>
        <w:tabs>
          <w:tab w:val="num" w:pos="0"/>
        </w:tabs>
        <w:ind w:left="1288" w:hanging="719"/>
      </w:pPr>
      <w:rPr>
        <w:sz w:val="24"/>
        <w:b w:val="false"/>
        <w:szCs w:val="24"/>
        <w:color w:val="000000"/>
      </w:rPr>
    </w:lvl>
    <w:lvl w:ilvl="3">
      <w:start w:val="1"/>
      <w:numFmt w:val="lowerLetter"/>
      <w:lvlText w:val="%4)"/>
      <w:lvlJc w:val="left"/>
      <w:pPr>
        <w:tabs>
          <w:tab w:val="num" w:pos="0"/>
        </w:tabs>
        <w:ind w:left="1572" w:hanging="720"/>
      </w:pPr>
      <w:rPr>
        <w:b w:val="false"/>
      </w:rPr>
    </w:lvl>
    <w:lvl w:ilvl="4">
      <w:start w:val="1"/>
      <w:numFmt w:val="decimal"/>
      <w:lvlText w:val="%1.%2.%3.%4.%5"/>
      <w:lvlJc w:val="left"/>
      <w:pPr>
        <w:tabs>
          <w:tab w:val="num" w:pos="0"/>
        </w:tabs>
        <w:ind w:left="2216" w:hanging="1080"/>
      </w:pPr>
      <w:rPr>
        <w:b/>
      </w:rPr>
    </w:lvl>
    <w:lvl w:ilvl="5">
      <w:start w:val="1"/>
      <w:numFmt w:val="decimal"/>
      <w:lvlText w:val="%1.%2.%3.%4.%5.%6"/>
      <w:lvlJc w:val="left"/>
      <w:pPr>
        <w:tabs>
          <w:tab w:val="num" w:pos="0"/>
        </w:tabs>
        <w:ind w:left="2500" w:hanging="1080"/>
      </w:pPr>
      <w:rPr>
        <w:b/>
      </w:rPr>
    </w:lvl>
    <w:lvl w:ilvl="6">
      <w:start w:val="1"/>
      <w:numFmt w:val="decimal"/>
      <w:lvlText w:val="%1.%2.%3.%4.%5.%6.%7"/>
      <w:lvlJc w:val="left"/>
      <w:pPr>
        <w:tabs>
          <w:tab w:val="num" w:pos="0"/>
        </w:tabs>
        <w:ind w:left="3144" w:hanging="1440"/>
      </w:pPr>
      <w:rPr/>
    </w:lvl>
    <w:lvl w:ilvl="7">
      <w:start w:val="1"/>
      <w:numFmt w:val="decimal"/>
      <w:lvlText w:val="%1.%2.%3.%4.%5.%6.%7.%8"/>
      <w:lvlJc w:val="left"/>
      <w:pPr>
        <w:tabs>
          <w:tab w:val="num" w:pos="0"/>
        </w:tabs>
        <w:ind w:left="3428" w:hanging="1440"/>
      </w:pPr>
      <w:rPr/>
    </w:lvl>
    <w:lvl w:ilvl="8">
      <w:start w:val="1"/>
      <w:numFmt w:val="decimal"/>
      <w:lvlText w:val="%1.%2.%3.%4.%5.%6.%7.%8.%9"/>
      <w:lvlJc w:val="left"/>
      <w:pPr>
        <w:tabs>
          <w:tab w:val="num" w:pos="0"/>
        </w:tabs>
        <w:ind w:left="4072" w:hanging="1800"/>
      </w:pPr>
      <w:rPr/>
    </w:lvl>
  </w:abstractNum>
  <w:abstractNum w:abstractNumId="10">
    <w:lvl w:ilvl="0">
      <w:start w:val="1"/>
      <w:numFmt w:val="lowerLetter"/>
      <w:lvlText w:val="%1)"/>
      <w:lvlJc w:val="left"/>
      <w:pPr>
        <w:tabs>
          <w:tab w:val="num" w:pos="0"/>
        </w:tabs>
        <w:ind w:left="2008" w:hanging="360"/>
      </w:pPr>
      <w:rPr>
        <w:color w:val="000000"/>
      </w:rPr>
    </w:lvl>
    <w:lvl w:ilvl="1">
      <w:start w:val="1"/>
      <w:numFmt w:val="lowerLetter"/>
      <w:lvlText w:val="%2."/>
      <w:lvlJc w:val="left"/>
      <w:pPr>
        <w:tabs>
          <w:tab w:val="num" w:pos="0"/>
        </w:tabs>
        <w:ind w:left="2728" w:hanging="360"/>
      </w:pPr>
      <w:rPr/>
    </w:lvl>
    <w:lvl w:ilvl="2">
      <w:start w:val="1"/>
      <w:numFmt w:val="lowerRoman"/>
      <w:lvlText w:val="%3."/>
      <w:lvlJc w:val="right"/>
      <w:pPr>
        <w:tabs>
          <w:tab w:val="num" w:pos="0"/>
        </w:tabs>
        <w:ind w:left="3448" w:hanging="180"/>
      </w:pPr>
      <w:rPr/>
    </w:lvl>
    <w:lvl w:ilvl="3">
      <w:start w:val="1"/>
      <w:numFmt w:val="decimal"/>
      <w:lvlText w:val="%4."/>
      <w:lvlJc w:val="left"/>
      <w:pPr>
        <w:tabs>
          <w:tab w:val="num" w:pos="0"/>
        </w:tabs>
        <w:ind w:left="4168" w:hanging="360"/>
      </w:pPr>
      <w:rPr/>
    </w:lvl>
    <w:lvl w:ilvl="4">
      <w:start w:val="1"/>
      <w:numFmt w:val="lowerLetter"/>
      <w:lvlText w:val="%5."/>
      <w:lvlJc w:val="left"/>
      <w:pPr>
        <w:tabs>
          <w:tab w:val="num" w:pos="0"/>
        </w:tabs>
        <w:ind w:left="4888" w:hanging="360"/>
      </w:pPr>
      <w:rPr/>
    </w:lvl>
    <w:lvl w:ilvl="5">
      <w:start w:val="1"/>
      <w:numFmt w:val="lowerRoman"/>
      <w:lvlText w:val="%6."/>
      <w:lvlJc w:val="right"/>
      <w:pPr>
        <w:tabs>
          <w:tab w:val="num" w:pos="0"/>
        </w:tabs>
        <w:ind w:left="5608" w:hanging="180"/>
      </w:pPr>
      <w:rPr/>
    </w:lvl>
    <w:lvl w:ilvl="6">
      <w:start w:val="1"/>
      <w:numFmt w:val="decimal"/>
      <w:lvlText w:val="%7."/>
      <w:lvlJc w:val="left"/>
      <w:pPr>
        <w:tabs>
          <w:tab w:val="num" w:pos="0"/>
        </w:tabs>
        <w:ind w:left="6328" w:hanging="360"/>
      </w:pPr>
      <w:rPr/>
    </w:lvl>
    <w:lvl w:ilvl="7">
      <w:start w:val="1"/>
      <w:numFmt w:val="lowerLetter"/>
      <w:lvlText w:val="%8."/>
      <w:lvlJc w:val="left"/>
      <w:pPr>
        <w:tabs>
          <w:tab w:val="num" w:pos="0"/>
        </w:tabs>
        <w:ind w:left="7048" w:hanging="360"/>
      </w:pPr>
      <w:rPr/>
    </w:lvl>
    <w:lvl w:ilvl="8">
      <w:start w:val="1"/>
      <w:numFmt w:val="lowerRoman"/>
      <w:lvlText w:val="%9."/>
      <w:lvlJc w:val="right"/>
      <w:pPr>
        <w:tabs>
          <w:tab w:val="num" w:pos="0"/>
        </w:tabs>
        <w:ind w:left="7768"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20"/>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pt-BR" w:eastAsia="pt-BR"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3c657f"/>
    <w:pPr>
      <w:widowControl/>
      <w:bidi w:val="0"/>
      <w:spacing w:before="0" w:after="0"/>
      <w:jc w:val="left"/>
    </w:pPr>
    <w:rPr>
      <w:rFonts w:ascii="Calibri" w:hAnsi="Calibri" w:eastAsia="Calibri" w:cs="Calibri"/>
      <w:color w:val="auto"/>
      <w:kern w:val="0"/>
      <w:sz w:val="22"/>
      <w:szCs w:val="22"/>
      <w:lang w:val="pt-BR" w:eastAsia="pt-BR" w:bidi="ar-SA"/>
    </w:rPr>
  </w:style>
  <w:style w:type="paragraph" w:styleId="Heading1">
    <w:name w:val="heading 1"/>
    <w:basedOn w:val="Normal"/>
    <w:next w:val="Normal"/>
    <w:link w:val="Ttulo1Char"/>
    <w:uiPriority w:val="9"/>
    <w:qFormat/>
    <w:rsid w:val="00db33bd"/>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2">
    <w:name w:val="heading 2"/>
    <w:basedOn w:val="Normal"/>
    <w:next w:val="Normal"/>
    <w:uiPriority w:val="9"/>
    <w:unhideWhenUsed/>
    <w:qFormat/>
    <w:pPr>
      <w:keepNext w:val="true"/>
      <w:numPr>
        <w:ilvl w:val="1"/>
        <w:numId w:val="1"/>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outlineLvl w:val="1"/>
    </w:pPr>
    <w:rPr>
      <w:rFonts w:ascii="Arial" w:hAnsi="Arial" w:eastAsia="Arial" w:cs="Arial"/>
      <w:b/>
      <w:sz w:val="24"/>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Strong" w:customStyle="1">
    <w:name w:val="Strong"/>
    <w:qFormat/>
    <w:rsid w:val="00502b0a"/>
    <w:rPr>
      <w:b/>
      <w:bCs/>
    </w:rPr>
  </w:style>
  <w:style w:type="character" w:styleId="Hyperlink">
    <w:name w:val="Hyperlink"/>
    <w:basedOn w:val="DefaultParagraphFont"/>
    <w:uiPriority w:val="99"/>
    <w:unhideWhenUsed/>
    <w:rsid w:val="002b1654"/>
    <w:rPr>
      <w:color w:val="0000FF"/>
      <w:u w:val="single"/>
    </w:rPr>
  </w:style>
  <w:style w:type="character" w:styleId="MenoPendente1" w:customStyle="1">
    <w:name w:val="Menção Pendente1"/>
    <w:basedOn w:val="DefaultParagraphFont"/>
    <w:uiPriority w:val="99"/>
    <w:semiHidden/>
    <w:unhideWhenUsed/>
    <w:qFormat/>
    <w:rsid w:val="00a54f66"/>
    <w:rPr>
      <w:color w:val="605E5C"/>
      <w:shd w:fill="E1DFDD" w:val="clear"/>
    </w:rPr>
  </w:style>
  <w:style w:type="character" w:styleId="CorpodetextoChar" w:customStyle="1">
    <w:name w:val="Corpo de texto Char"/>
    <w:basedOn w:val="DefaultParagraphFont"/>
    <w:qFormat/>
    <w:rsid w:val="0055156a"/>
    <w:rPr>
      <w:color w:val="00000A"/>
    </w:rPr>
  </w:style>
  <w:style w:type="character" w:styleId="CabealhoChar" w:customStyle="1">
    <w:name w:val="Cabeçalho Char"/>
    <w:basedOn w:val="DefaultParagraphFont"/>
    <w:uiPriority w:val="99"/>
    <w:qFormat/>
    <w:rsid w:val="00c366b9"/>
    <w:rPr/>
  </w:style>
  <w:style w:type="character" w:styleId="RodapChar" w:customStyle="1">
    <w:name w:val="Rodapé Char"/>
    <w:basedOn w:val="DefaultParagraphFont"/>
    <w:uiPriority w:val="99"/>
    <w:qFormat/>
    <w:rsid w:val="00c366b9"/>
    <w:rPr/>
  </w:style>
  <w:style w:type="character" w:styleId="TextodebaloChar" w:customStyle="1">
    <w:name w:val="Texto de balão Char"/>
    <w:basedOn w:val="DefaultParagraphFont"/>
    <w:link w:val="BalloonText"/>
    <w:uiPriority w:val="99"/>
    <w:semiHidden/>
    <w:qFormat/>
    <w:rsid w:val="007a7c46"/>
    <w:rPr>
      <w:rFonts w:ascii="Segoe UI" w:hAnsi="Segoe UI" w:cs="Segoe UI"/>
      <w:sz w:val="18"/>
      <w:szCs w:val="18"/>
    </w:rPr>
  </w:style>
  <w:style w:type="character" w:styleId="PargrafodaListaChar" w:customStyle="1">
    <w:name w:val="Parágrafo da Lista Char"/>
    <w:basedOn w:val="DefaultParagraphFont"/>
    <w:link w:val="ListParagraph"/>
    <w:qFormat/>
    <w:locked/>
    <w:rsid w:val="00b14b3d"/>
    <w:rPr/>
  </w:style>
  <w:style w:type="character" w:styleId="CommentReference">
    <w:name w:val="annotation reference"/>
    <w:basedOn w:val="DefaultParagraphFont"/>
    <w:uiPriority w:val="99"/>
    <w:semiHidden/>
    <w:unhideWhenUsed/>
    <w:qFormat/>
    <w:rsid w:val="00fb689b"/>
    <w:rPr>
      <w:sz w:val="16"/>
      <w:szCs w:val="16"/>
    </w:rPr>
  </w:style>
  <w:style w:type="character" w:styleId="TextodecomentrioChar" w:customStyle="1">
    <w:name w:val="Texto de comentário Char"/>
    <w:basedOn w:val="DefaultParagraphFont"/>
    <w:uiPriority w:val="99"/>
    <w:qFormat/>
    <w:rsid w:val="00fb689b"/>
    <w:rPr>
      <w:sz w:val="20"/>
      <w:szCs w:val="20"/>
    </w:rPr>
  </w:style>
  <w:style w:type="character" w:styleId="AssuntodocomentrioChar" w:customStyle="1">
    <w:name w:val="Assunto do comentário Char"/>
    <w:basedOn w:val="TextodecomentrioChar"/>
    <w:link w:val="annotationsubject"/>
    <w:uiPriority w:val="99"/>
    <w:semiHidden/>
    <w:qFormat/>
    <w:rsid w:val="00fb689b"/>
    <w:rPr>
      <w:b/>
      <w:bCs/>
      <w:sz w:val="20"/>
      <w:szCs w:val="20"/>
    </w:rPr>
  </w:style>
  <w:style w:type="character" w:styleId="ABNTNormalChar" w:customStyle="1">
    <w:name w:val="ABNT_Normal Char"/>
    <w:basedOn w:val="DefaultParagraphFont"/>
    <w:link w:val="ABNTNormal"/>
    <w:qFormat/>
    <w:locked/>
    <w:rsid w:val="00c7704c"/>
    <w:rPr>
      <w:rFonts w:ascii="Arial" w:hAnsi="Arial" w:cs="Arial"/>
      <w:sz w:val="24"/>
      <w:szCs w:val="24"/>
    </w:rPr>
  </w:style>
  <w:style w:type="character" w:styleId="Ttulo1Char" w:customStyle="1">
    <w:name w:val="Título 1 Char"/>
    <w:basedOn w:val="DefaultParagraphFont"/>
    <w:uiPriority w:val="9"/>
    <w:qFormat/>
    <w:rsid w:val="00db33bd"/>
    <w:rPr>
      <w:rFonts w:ascii="Calibri Light" w:hAnsi="Calibri Light" w:eastAsia="" w:cs="" w:asciiTheme="majorHAnsi" w:cstheme="majorBidi" w:eastAsiaTheme="majorEastAsia" w:hAnsiTheme="majorHAnsi"/>
      <w:color w:themeColor="accent1" w:themeShade="bf" w:val="2F5496"/>
      <w:sz w:val="32"/>
      <w:szCs w:val="32"/>
    </w:rPr>
  </w:style>
  <w:style w:type="character" w:styleId="Estilo1Char" w:customStyle="1">
    <w:name w:val="Estilo1 Char"/>
    <w:basedOn w:val="DefaultParagraphFont"/>
    <w:link w:val="Estilo1"/>
    <w:uiPriority w:val="99"/>
    <w:qFormat/>
    <w:locked/>
    <w:rsid w:val="00db33bd"/>
    <w:rPr>
      <w:rFonts w:ascii="Calibri" w:hAnsi="Calibri" w:eastAsia="Calibri" w:cs="Times New Roman"/>
      <w:sz w:val="24"/>
    </w:rPr>
  </w:style>
  <w:style w:type="character" w:styleId="Vnculodendice">
    <w:name w:val="Vínculo de índice"/>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rsid w:val="0055156a"/>
    <w:pPr>
      <w:spacing w:lineRule="auto" w:line="288" w:before="0" w:after="140"/>
    </w:pPr>
    <w:rPr>
      <w:color w:val="00000A"/>
    </w:rPr>
  </w:style>
  <w:style w:type="paragraph" w:styleId="List">
    <w:name w:val="List"/>
    <w:basedOn w:val="BodyText"/>
    <w:pPr/>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 w:hAnsi="Liberation Sans" w:eastAsia="Microsoft YaHei" w:cs="Arial"/>
      <w:sz w:val="28"/>
      <w:szCs w:val="28"/>
    </w:rPr>
  </w:style>
  <w:style w:type="paragraph" w:styleId="NormalWeb">
    <w:name w:val="Normal (Web)"/>
    <w:basedOn w:val="Normal"/>
    <w:uiPriority w:val="99"/>
    <w:unhideWhenUsed/>
    <w:qFormat/>
    <w:rsid w:val="00625ca5"/>
    <w:pPr>
      <w:spacing w:beforeAutospacing="1" w:afterAutospacing="1"/>
    </w:pPr>
    <w:rPr>
      <w:rFonts w:ascii="Times New Roman" w:hAnsi="Times New Roman" w:eastAsia="Times New Roman" w:cs="Times New Roman"/>
      <w:color w:val="00000A"/>
      <w:sz w:val="24"/>
      <w:szCs w:val="24"/>
    </w:rPr>
  </w:style>
  <w:style w:type="paragraph" w:styleId="Standard" w:customStyle="1">
    <w:name w:val="Standard"/>
    <w:qFormat/>
    <w:rsid w:val="00502b0a"/>
    <w:pPr>
      <w:widowControl/>
      <w:bidi w:val="0"/>
      <w:spacing w:before="0" w:after="0"/>
      <w:jc w:val="left"/>
      <w:textAlignment w:val="baseline"/>
    </w:pPr>
    <w:rPr>
      <w:rFonts w:ascii="Liberation Serif" w:hAnsi="Liberation Serif" w:eastAsia="SimSun" w:cs="Mangal"/>
      <w:color w:val="auto"/>
      <w:kern w:val="2"/>
      <w:sz w:val="24"/>
      <w:szCs w:val="24"/>
      <w:lang w:eastAsia="zh-CN" w:bidi="hi-IN" w:val="pt-BR"/>
    </w:rPr>
  </w:style>
  <w:style w:type="paragraph" w:styleId="Textbody" w:customStyle="1">
    <w:name w:val="Text body"/>
    <w:basedOn w:val="Standard"/>
    <w:qFormat/>
    <w:rsid w:val="00970986"/>
    <w:pPr>
      <w:widowControl w:val="false"/>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pPr>
    <w:rPr>
      <w:rFonts w:ascii="Arial" w:hAnsi="Arial" w:eastAsia="Arial" w:cs="Arial"/>
      <w:sz w:val="22"/>
      <w:szCs w:val="20"/>
    </w:rPr>
  </w:style>
  <w:style w:type="paragraph" w:styleId="ListParagraph">
    <w:name w:val="List Paragraph"/>
    <w:basedOn w:val="Normal"/>
    <w:link w:val="PargrafodaListaChar"/>
    <w:qFormat/>
    <w:rsid w:val="00e14c9d"/>
    <w:pPr>
      <w:spacing w:before="0" w:after="160"/>
      <w:ind w:left="720"/>
      <w:contextualSpacing/>
    </w:pPr>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Header">
    <w:name w:val="header"/>
    <w:basedOn w:val="Normal"/>
    <w:link w:val="CabealhoChar"/>
    <w:uiPriority w:val="99"/>
    <w:unhideWhenUsed/>
    <w:rsid w:val="00c366b9"/>
    <w:pPr>
      <w:tabs>
        <w:tab w:val="clear" w:pos="720"/>
        <w:tab w:val="center" w:pos="4252" w:leader="none"/>
        <w:tab w:val="right" w:pos="8504" w:leader="none"/>
      </w:tabs>
    </w:pPr>
    <w:rPr/>
  </w:style>
  <w:style w:type="paragraph" w:styleId="Footer">
    <w:name w:val="footer"/>
    <w:basedOn w:val="Normal"/>
    <w:link w:val="RodapChar"/>
    <w:uiPriority w:val="99"/>
    <w:unhideWhenUsed/>
    <w:rsid w:val="00c366b9"/>
    <w:pPr>
      <w:tabs>
        <w:tab w:val="clear" w:pos="720"/>
        <w:tab w:val="center" w:pos="4252" w:leader="none"/>
        <w:tab w:val="right" w:pos="8504" w:leader="none"/>
      </w:tabs>
    </w:pPr>
    <w:rPr/>
  </w:style>
  <w:style w:type="paragraph" w:styleId="BalloonText">
    <w:name w:val="Balloon Text"/>
    <w:basedOn w:val="Normal"/>
    <w:link w:val="TextodebaloChar"/>
    <w:uiPriority w:val="99"/>
    <w:semiHidden/>
    <w:unhideWhenUsed/>
    <w:qFormat/>
    <w:rsid w:val="007a7c46"/>
    <w:pPr/>
    <w:rPr>
      <w:rFonts w:ascii="Segoe UI" w:hAnsi="Segoe UI" w:cs="Segoe UI"/>
      <w:sz w:val="18"/>
      <w:szCs w:val="18"/>
    </w:rPr>
  </w:style>
  <w:style w:type="paragraph" w:styleId="Contedodoquadro" w:customStyle="1">
    <w:name w:val="Conteúdo do quadro"/>
    <w:basedOn w:val="Normal"/>
    <w:qFormat/>
    <w:pPr/>
    <w:rPr/>
  </w:style>
  <w:style w:type="paragraph" w:styleId="LO-Normal" w:customStyle="1">
    <w:name w:val="LO-Normal"/>
    <w:qFormat/>
    <w:pPr>
      <w:widowControl/>
      <w:bidi w:val="0"/>
      <w:spacing w:before="0" w:after="0"/>
      <w:jc w:val="left"/>
    </w:pPr>
    <w:rPr>
      <w:rFonts w:ascii="Calibri" w:hAnsi="Calibri" w:eastAsia="Calibri" w:cs="Calibri"/>
      <w:color w:val="auto"/>
      <w:kern w:val="0"/>
      <w:sz w:val="22"/>
      <w:szCs w:val="22"/>
      <w:lang w:val="pt-BR" w:eastAsia="pt-BR" w:bidi="ar-SA"/>
    </w:rPr>
  </w:style>
  <w:style w:type="paragraph" w:styleId="LO-Normal1" w:customStyle="1">
    <w:name w:val="LO-Normal1"/>
    <w:qFormat/>
    <w:pPr>
      <w:widowControl/>
      <w:bidi w:val="0"/>
      <w:spacing w:before="0" w:after="0"/>
      <w:jc w:val="left"/>
    </w:pPr>
    <w:rPr>
      <w:rFonts w:ascii="Calibri" w:hAnsi="Calibri" w:eastAsia="Calibri" w:cs="Calibri"/>
      <w:color w:val="auto"/>
      <w:kern w:val="0"/>
      <w:sz w:val="22"/>
      <w:szCs w:val="22"/>
      <w:lang w:val="pt-BR" w:eastAsia="pt-BR" w:bidi="ar-SA"/>
    </w:rPr>
  </w:style>
  <w:style w:type="paragraph" w:styleId="CommentText">
    <w:name w:val="annotation text"/>
    <w:basedOn w:val="Normal"/>
    <w:link w:val="TextodecomentrioChar"/>
    <w:uiPriority w:val="99"/>
    <w:unhideWhenUsed/>
    <w:rsid w:val="00fb689b"/>
    <w:pPr/>
    <w:rPr>
      <w:sz w:val="20"/>
      <w:szCs w:val="20"/>
    </w:rPr>
  </w:style>
  <w:style w:type="paragraph" w:styleId="annotationsubject">
    <w:name w:val="annotation subject"/>
    <w:basedOn w:val="CommentText"/>
    <w:next w:val="CommentText"/>
    <w:link w:val="AssuntodocomentrioChar"/>
    <w:uiPriority w:val="99"/>
    <w:semiHidden/>
    <w:unhideWhenUsed/>
    <w:qFormat/>
    <w:rsid w:val="00fb689b"/>
    <w:pPr/>
    <w:rPr>
      <w:b/>
      <w:bCs/>
    </w:rPr>
  </w:style>
  <w:style w:type="paragraph" w:styleId="ABNTNormal" w:customStyle="1">
    <w:name w:val="ABNT_Normal"/>
    <w:basedOn w:val="Normal"/>
    <w:link w:val="ABNTNormalChar"/>
    <w:qFormat/>
    <w:rsid w:val="00c7704c"/>
    <w:pPr>
      <w:tabs>
        <w:tab w:val="clear" w:pos="720"/>
        <w:tab w:val="left" w:pos="7155" w:leader="none"/>
      </w:tabs>
      <w:spacing w:lineRule="auto" w:line="276" w:before="0" w:after="120"/>
      <w:jc w:val="both"/>
    </w:pPr>
    <w:rPr>
      <w:rFonts w:ascii="Arial" w:hAnsi="Arial" w:cs="Arial"/>
      <w:sz w:val="24"/>
      <w:szCs w:val="24"/>
    </w:rPr>
  </w:style>
  <w:style w:type="paragraph" w:styleId="Estilo1" w:customStyle="1">
    <w:name w:val="Estilo1"/>
    <w:basedOn w:val="Normal"/>
    <w:link w:val="Estilo1Char"/>
    <w:uiPriority w:val="99"/>
    <w:qFormat/>
    <w:rsid w:val="00db33bd"/>
    <w:pPr>
      <w:spacing w:lineRule="auto" w:line="360"/>
      <w:jc w:val="both"/>
    </w:pPr>
    <w:rPr>
      <w:rFonts w:cs="Times New Roman"/>
      <w:sz w:val="24"/>
    </w:rPr>
  </w:style>
  <w:style w:type="paragraph" w:styleId="TableParagraph" w:customStyle="1">
    <w:name w:val="Table Paragraph"/>
    <w:basedOn w:val="Normal"/>
    <w:uiPriority w:val="1"/>
    <w:qFormat/>
    <w:rsid w:val="00e548e5"/>
    <w:pPr>
      <w:widowControl w:val="false"/>
    </w:pPr>
    <w:rPr>
      <w:lang w:val="pt-PT" w:eastAsia="pt-PT" w:bidi="pt-PT"/>
    </w:rPr>
  </w:style>
  <w:style w:type="paragraph" w:styleId="Revision">
    <w:name w:val="Revision"/>
    <w:uiPriority w:val="99"/>
    <w:semiHidden/>
    <w:qFormat/>
    <w:rsid w:val="00f907f7"/>
    <w:pPr>
      <w:widowControl/>
      <w:bidi w:val="0"/>
      <w:spacing w:before="0" w:after="0"/>
      <w:jc w:val="left"/>
    </w:pPr>
    <w:rPr>
      <w:rFonts w:ascii="Calibri" w:hAnsi="Calibri" w:eastAsia="Calibri" w:cs="Calibri"/>
      <w:color w:val="auto"/>
      <w:kern w:val="0"/>
      <w:sz w:val="22"/>
      <w:szCs w:val="22"/>
      <w:lang w:val="pt-BR" w:eastAsia="pt-BR" w:bidi="ar-SA"/>
    </w:rPr>
  </w:style>
  <w:style w:type="paragraph" w:styleId="textocorpo10justificado" w:customStyle="1">
    <w:name w:val="texto_corpo_10_justificado"/>
    <w:basedOn w:val="Normal"/>
    <w:qFormat/>
    <w:rsid w:val="00c43142"/>
    <w:pPr>
      <w:spacing w:beforeAutospacing="1" w:afterAutospacing="1"/>
    </w:pPr>
    <w:rPr>
      <w:rFonts w:ascii="Times New Roman" w:hAnsi="Times New Roman" w:eastAsia="Times New Roman" w:cs="Times New Roman"/>
      <w:sz w:val="24"/>
      <w:szCs w:val="24"/>
    </w:rPr>
  </w:style>
  <w:style w:type="paragraph" w:styleId="IndexHeading">
    <w:name w:val="index heading"/>
    <w:basedOn w:val="Ttulo"/>
    <w:pPr/>
    <w:rPr/>
  </w:style>
  <w:style w:type="paragraph" w:styleId="TOCHeading">
    <w:name w:val="TOC Heading"/>
    <w:basedOn w:val="Heading1"/>
    <w:next w:val="Normal"/>
    <w:uiPriority w:val="39"/>
    <w:unhideWhenUsed/>
    <w:qFormat/>
    <w:rsid w:val="009d6f38"/>
    <w:pPr>
      <w:spacing w:lineRule="auto" w:line="259"/>
      <w:outlineLvl w:val="9"/>
    </w:pPr>
    <w:rPr/>
  </w:style>
  <w:style w:type="paragraph" w:styleId="TOC1">
    <w:name w:val="toc 1"/>
    <w:basedOn w:val="Normal"/>
    <w:next w:val="Normal"/>
    <w:autoRedefine/>
    <w:uiPriority w:val="39"/>
    <w:unhideWhenUsed/>
    <w:rsid w:val="009d6f38"/>
    <w:pPr>
      <w:spacing w:before="0" w:after="100"/>
    </w:pPr>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TOC2">
    <w:name w:val="toc 2"/>
    <w:basedOn w:val="ndice"/>
    <w:pPr/>
    <w:rPr/>
  </w:style>
  <w:style w:type="paragraph" w:styleId="TOC3">
    <w:name w:val="toc 3"/>
    <w:basedOn w:val="ndice"/>
    <w:pPr/>
    <w:rPr/>
  </w:style>
  <w:style w:type="paragraph" w:styleId="TOC4">
    <w:name w:val="toc 4"/>
    <w:basedOn w:val="ndice"/>
    <w:pPr/>
    <w:rPr/>
  </w:style>
  <w:style w:type="paragraph" w:styleId="TOC5">
    <w:name w:val="toc 5"/>
    <w:basedOn w:val="ndice"/>
    <w:pPr/>
    <w:rPr/>
  </w:style>
  <w:style w:type="paragraph" w:styleId="TOC6">
    <w:name w:val="toc 6"/>
    <w:basedOn w:val="ndice"/>
    <w:pPr/>
    <w:rPr/>
  </w:style>
  <w:style w:type="paragraph" w:styleId="TOC7">
    <w:name w:val="toc 7"/>
    <w:basedOn w:val="ndice"/>
    <w:pPr/>
    <w:rPr/>
  </w:style>
  <w:style w:type="paragraph" w:styleId="TOC8">
    <w:name w:val="toc 8"/>
    <w:basedOn w:val="ndice"/>
    <w:pPr/>
    <w:rPr/>
  </w:style>
  <w:style w:type="paragraph" w:styleId="TOC9">
    <w:name w:val="toc 9"/>
    <w:basedOn w:val="ndice"/>
    <w:pPr/>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00">
    <w:name w:val="Table Normal_0"/>
    <w:uiPriority w:val="2"/>
    <w:semiHidden/>
    <w:unhideWhenUsed/>
    <w:qFormat/>
    <w:rsid w:val="00e548e5"/>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roundtripDataSignature="AMtx7mjPCjERsI42mBfWvJWvO5GNVBiEdw==">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</go:docsCustomData>
</go:gDocsCustomXmlDataStorage>
</file>

<file path=customXml/itemProps1.xml><?xml version="1.0" encoding="utf-8"?>
<ds:datastoreItem xmlns:ds="http://schemas.openxmlformats.org/officeDocument/2006/customXml" ds:itemID="{BC0FE81B-563C-4035-AE8E-E3E907F3178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Application>LibreOffice/24.8.3.2$Windows_X86_64 LibreOffice_project/bb3cfa12c7b1bf994ecc5649a80400d06cd71002</Application>
  <AppVersion>15.0000</AppVersion>
  <Pages>39</Pages>
  <Words>9458</Words>
  <Characters>55066</Characters>
  <CharactersWithSpaces>64077</CharactersWithSpaces>
  <Paragraphs>371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2025-09-04T18:04:00Z</dcterms:created>
  <dc:creator>Sabrina Crivellaro Becker</dc:creator>
  <dc:description/>
  <dc:language>pt-BR</dc:language>
  <cp:lastModifiedBy/>
  <cp:lastPrinted>2024-11-08T11:11:00Z</cp:lastPrinted>
  <dcterms:modified xsi:type="dcterms:W3CDTF">2026-04-07T10:46:43Z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